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Arial" w:hAnsi="Arial" w:cs="Arial"/>
          <w:sz w:val="24"/>
          <w:szCs w:val="24"/>
        </w:rPr>
      </w:pPr>
      <w:r>
        <w:rPr>
          <w:rFonts w:cs="Arial" w:ascii="Arial" w:hAnsi="Arial"/>
          <w:sz w:val="24"/>
          <w:szCs w:val="24"/>
        </w:rPr>
        <w:t>Lisa Gilby</w:t>
        <w:br/>
        <w:t xml:space="preserve">Clerk and Responsible Financial Officer </w:t>
      </w:r>
    </w:p>
    <w:p>
      <w:pPr>
        <w:pStyle w:val="NoSpacing"/>
        <w:rPr>
          <w:rFonts w:ascii="Arial" w:hAnsi="Arial" w:cs="Arial"/>
          <w:sz w:val="24"/>
        </w:rPr>
      </w:pPr>
      <w:r>
        <w:rPr>
          <w:rFonts w:cs="Arial" w:ascii="Arial" w:hAnsi="Arial"/>
          <w:sz w:val="24"/>
        </w:rPr>
        <w:t>Charlton Musgrove Parish Council</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16</w:t>
      </w:r>
      <w:r>
        <w:rPr>
          <w:rFonts w:cs="Arial" w:ascii="Arial" w:hAnsi="Arial"/>
          <w:sz w:val="24"/>
          <w:szCs w:val="24"/>
          <w:vertAlign w:val="superscript"/>
        </w:rPr>
        <w:t>th</w:t>
      </w:r>
      <w:r>
        <w:rPr>
          <w:rFonts w:cs="Arial" w:ascii="Arial" w:hAnsi="Arial"/>
          <w:sz w:val="24"/>
          <w:szCs w:val="24"/>
        </w:rPr>
        <w:t xml:space="preserve"> May 2026</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Dear Lisa,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rPr>
      </w:pPr>
      <w:r>
        <w:rPr>
          <w:rFonts w:cs="Arial" w:ascii="Arial" w:hAnsi="Arial"/>
          <w:b/>
          <w:bCs/>
          <w:sz w:val="24"/>
        </w:rPr>
        <w:t>INTERNAL AUDIT 2025/26</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Parish &amp; Town Auditing Services have been appointed to undertake the internal audits at Charlton Musgrove Parish Council. The annual internal audit for 2025/26 financial year was completed on 16</w:t>
      </w:r>
      <w:r>
        <w:rPr>
          <w:rFonts w:cs="Arial" w:ascii="Arial" w:hAnsi="Arial"/>
          <w:sz w:val="24"/>
          <w:vertAlign w:val="superscript"/>
        </w:rPr>
        <w:t>th</w:t>
      </w:r>
      <w:r>
        <w:rPr>
          <w:rFonts w:cs="Arial" w:ascii="Arial" w:hAnsi="Arial"/>
          <w:sz w:val="24"/>
        </w:rPr>
        <w:t xml:space="preserve"> May 2026. </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I can confirm that I am independent of the Parish Council.</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 xml:space="preserve">As stated in the Letter of Engagement letter, the scope of our work is limited to completing the audit testing and enquiries we deem necessary to complete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and our procedures are not designed to provide assurance over the reliability and quality of your financial statements. This will be undertaken by the Council’s appointed External Auditor. </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The Audit has identified a number of recommendations to help update and improve the Council’s current procedures. The audit has found no areas of concern and the Council’s procedures and controls are generally working well.</w:t>
      </w:r>
    </w:p>
    <w:p>
      <w:pPr>
        <w:pStyle w:val="NoSpacing"/>
        <w:rPr>
          <w:rFonts w:ascii="Arial" w:hAnsi="Arial" w:cs="Arial"/>
          <w:sz w:val="24"/>
        </w:rPr>
      </w:pPr>
      <w:r>
        <w:rPr>
          <w:rFonts w:cs="Arial" w:ascii="Arial" w:hAnsi="Arial"/>
          <w:sz w:val="24"/>
        </w:rPr>
      </w:r>
    </w:p>
    <w:p>
      <w:pPr>
        <w:pStyle w:val="NoSpacing"/>
        <w:rPr>
          <w:rFonts w:ascii="Arial" w:hAnsi="Arial" w:cs="Arial"/>
          <w:strike/>
          <w:sz w:val="24"/>
        </w:rPr>
      </w:pPr>
      <w:r>
        <w:rPr>
          <w:rFonts w:cs="Arial" w:ascii="Arial" w:hAnsi="Arial"/>
          <w:sz w:val="24"/>
        </w:rPr>
        <w:t xml:space="preserve">Thank you for all the information you have provided to enable the audit to be undertaken. </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Yours sincerely,</w:t>
      </w:r>
    </w:p>
    <w:p>
      <w:pPr>
        <w:pStyle w:val="NoSpacing"/>
        <w:rPr>
          <w:rFonts w:ascii="Arial" w:hAnsi="Arial" w:cs="Arial"/>
          <w:sz w:val="24"/>
        </w:rPr>
      </w:pPr>
      <w:r>
        <w:rPr/>
        <w:drawing>
          <wp:inline distT="0" distB="0" distL="0" distR="0">
            <wp:extent cx="1128395" cy="643255"/>
            <wp:effectExtent l="0" t="0" r="0" b="0"/>
            <wp:docPr id="1"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signature&#10;&#10;Description automatically generated"/>
                    <pic:cNvPicPr>
                      <a:picLocks noChangeAspect="1" noChangeArrowheads="1"/>
                    </pic:cNvPicPr>
                  </pic:nvPicPr>
                  <pic:blipFill>
                    <a:blip r:embed="rId2"/>
                    <a:stretch>
                      <a:fillRect/>
                    </a:stretch>
                  </pic:blipFill>
                  <pic:spPr bwMode="auto">
                    <a:xfrm>
                      <a:off x="0" y="0"/>
                      <a:ext cx="1128395" cy="643255"/>
                    </a:xfrm>
                    <a:prstGeom prst="rect">
                      <a:avLst/>
                    </a:prstGeom>
                  </pic:spPr>
                </pic:pic>
              </a:graphicData>
            </a:graphic>
          </wp:inline>
        </w:drawing>
      </w:r>
    </w:p>
    <w:p>
      <w:pPr>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0"/>
        </w:sectPr>
        <w:pStyle w:val="NoSpacing"/>
        <w:rPr>
          <w:rFonts w:ascii="Arial" w:hAnsi="Arial" w:cs="Arial"/>
          <w:sz w:val="24"/>
          <w:szCs w:val="24"/>
        </w:rPr>
      </w:pPr>
      <w:r>
        <w:rPr>
          <w:rFonts w:cs="Arial" w:ascii="Arial" w:hAnsi="Arial"/>
          <w:sz w:val="24"/>
        </w:rPr>
        <w:t xml:space="preserve">Paul Russell, Internal Auditor </w:t>
      </w:r>
    </w:p>
    <w:p>
      <w:pPr>
        <w:pStyle w:val="NoSpacing"/>
        <w:rPr>
          <w:rFonts w:ascii="Arial" w:hAnsi="Arial" w:cs="Arial"/>
          <w:b/>
          <w:b/>
          <w:bCs/>
          <w:sz w:val="24"/>
        </w:rPr>
      </w:pPr>
      <w:r>
        <w:rPr>
          <w:rFonts w:cs="Arial" w:ascii="Arial" w:hAnsi="Arial"/>
          <w:b/>
          <w:bCs/>
          <w:sz w:val="24"/>
        </w:rPr>
        <w:t>INTERNAL AUDIT</w:t>
      </w:r>
    </w:p>
    <w:p>
      <w:pPr>
        <w:pStyle w:val="NoSpacing"/>
        <w:rPr>
          <w:rFonts w:ascii="Arial" w:hAnsi="Arial" w:cs="Arial"/>
          <w:sz w:val="24"/>
        </w:rPr>
      </w:pPr>
      <w:r>
        <w:rPr>
          <w:rFonts w:cs="Arial" w:ascii="Arial" w:hAnsi="Arial"/>
          <w:sz w:val="24"/>
        </w:rPr>
        <w:t>Outlined below is an overview of the 10 Assertions within the Practitioners Guide 2025. Each of these are dealt with under the relevant Governance sections contained in Section 1 of the AGAR:</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1 — Financial management and preparation of accounts</w:t>
      </w:r>
    </w:p>
    <w:p>
      <w:pPr>
        <w:pStyle w:val="NoSpacing"/>
        <w:numPr>
          <w:ilvl w:val="0"/>
          <w:numId w:val="1"/>
        </w:numPr>
        <w:ind w:left="426" w:hanging="426"/>
        <w:rPr>
          <w:rFonts w:ascii="Arial" w:hAnsi="Arial" w:cs="Arial"/>
          <w:sz w:val="24"/>
        </w:rPr>
      </w:pPr>
      <w:r>
        <w:rPr>
          <w:rFonts w:cs="Arial" w:ascii="Arial" w:hAnsi="Arial"/>
          <w:sz w:val="24"/>
        </w:rPr>
        <w:t>Accounting Records and supporting documents:</w:t>
      </w:r>
    </w:p>
    <w:p>
      <w:pPr>
        <w:pStyle w:val="NoSpacing"/>
        <w:numPr>
          <w:ilvl w:val="0"/>
          <w:numId w:val="1"/>
        </w:numPr>
        <w:ind w:left="426" w:hanging="426"/>
        <w:rPr>
          <w:rFonts w:ascii="Arial" w:hAnsi="Arial" w:cs="Arial"/>
          <w:sz w:val="24"/>
        </w:rPr>
      </w:pPr>
      <w:r>
        <w:rPr>
          <w:rFonts w:cs="Arial" w:ascii="Arial" w:hAnsi="Arial"/>
          <w:sz w:val="24"/>
        </w:rPr>
        <w:t>Bank reconciliation:</w:t>
      </w:r>
    </w:p>
    <w:p>
      <w:pPr>
        <w:pStyle w:val="NoSpacing"/>
        <w:numPr>
          <w:ilvl w:val="0"/>
          <w:numId w:val="1"/>
        </w:numPr>
        <w:ind w:left="426" w:hanging="426"/>
        <w:rPr>
          <w:rFonts w:ascii="Arial" w:hAnsi="Arial" w:cs="Arial"/>
          <w:sz w:val="24"/>
        </w:rPr>
      </w:pPr>
      <w:r>
        <w:rPr>
          <w:rFonts w:cs="Arial" w:ascii="Arial" w:hAnsi="Arial"/>
          <w:sz w:val="24"/>
        </w:rPr>
        <w:t>Budget setting:</w:t>
      </w:r>
    </w:p>
    <w:p>
      <w:pPr>
        <w:pStyle w:val="NoSpacing"/>
        <w:numPr>
          <w:ilvl w:val="0"/>
          <w:numId w:val="1"/>
        </w:numPr>
        <w:ind w:left="426" w:hanging="426"/>
        <w:rPr>
          <w:rFonts w:ascii="Arial" w:hAnsi="Arial" w:cs="Arial"/>
          <w:sz w:val="24"/>
        </w:rPr>
      </w:pPr>
      <w:r>
        <w:rPr>
          <w:rFonts w:cs="Arial" w:ascii="Arial" w:hAnsi="Arial"/>
          <w:sz w:val="24"/>
        </w:rPr>
        <w:t>Investments:</w:t>
      </w:r>
    </w:p>
    <w:p>
      <w:pPr>
        <w:pStyle w:val="NoSpacing"/>
        <w:numPr>
          <w:ilvl w:val="0"/>
          <w:numId w:val="1"/>
        </w:numPr>
        <w:ind w:left="426" w:hanging="426"/>
        <w:rPr>
          <w:rFonts w:ascii="Arial" w:hAnsi="Arial" w:cs="Arial"/>
          <w:sz w:val="24"/>
        </w:rPr>
      </w:pPr>
      <w:r>
        <w:rPr>
          <w:rFonts w:cs="Arial" w:ascii="Arial" w:hAnsi="Arial"/>
          <w:sz w:val="24"/>
        </w:rPr>
        <w:t>Reserves:</w:t>
      </w:r>
    </w:p>
    <w:p>
      <w:pPr>
        <w:pStyle w:val="NoSpacing"/>
        <w:numPr>
          <w:ilvl w:val="0"/>
          <w:numId w:val="1"/>
        </w:numPr>
        <w:ind w:left="426" w:hanging="426"/>
        <w:rPr>
          <w:rFonts w:ascii="Arial" w:hAnsi="Arial" w:cs="Arial"/>
          <w:sz w:val="24"/>
        </w:rPr>
      </w:pPr>
      <w:r>
        <w:rPr>
          <w:rFonts w:cs="Arial" w:ascii="Arial" w:hAnsi="Arial"/>
          <w:sz w:val="24"/>
        </w:rPr>
        <w:t>General Reserves:</w:t>
      </w:r>
    </w:p>
    <w:p>
      <w:pPr>
        <w:pStyle w:val="NoSpacing"/>
        <w:numPr>
          <w:ilvl w:val="0"/>
          <w:numId w:val="1"/>
        </w:numPr>
        <w:ind w:left="426" w:hanging="426"/>
        <w:rPr>
          <w:rFonts w:ascii="Arial" w:hAnsi="Arial" w:cs="Arial"/>
          <w:sz w:val="24"/>
        </w:rPr>
      </w:pPr>
      <w:r>
        <w:rPr>
          <w:rFonts w:cs="Arial" w:ascii="Arial" w:hAnsi="Arial"/>
          <w:sz w:val="24"/>
        </w:rPr>
        <w:t>Earmarked and other reserves: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 xml:space="preserve">AGS Assertion 2 — Internal control </w:t>
      </w:r>
    </w:p>
    <w:p>
      <w:pPr>
        <w:pStyle w:val="NoSpacing"/>
        <w:numPr>
          <w:ilvl w:val="0"/>
          <w:numId w:val="2"/>
        </w:numPr>
        <w:ind w:left="426" w:hanging="426"/>
        <w:rPr>
          <w:rFonts w:ascii="Arial" w:hAnsi="Arial" w:cs="Arial"/>
          <w:sz w:val="24"/>
        </w:rPr>
      </w:pPr>
      <w:r>
        <w:rPr>
          <w:rFonts w:cs="Arial" w:ascii="Arial" w:hAnsi="Arial"/>
          <w:sz w:val="24"/>
        </w:rPr>
        <w:t>Standing Orders and Financial Regulations:</w:t>
      </w:r>
    </w:p>
    <w:p>
      <w:pPr>
        <w:pStyle w:val="NoSpacing"/>
        <w:numPr>
          <w:ilvl w:val="0"/>
          <w:numId w:val="2"/>
        </w:numPr>
        <w:ind w:left="426" w:hanging="426"/>
        <w:rPr>
          <w:rFonts w:ascii="Arial" w:hAnsi="Arial" w:cs="Arial"/>
          <w:sz w:val="24"/>
        </w:rPr>
      </w:pPr>
      <w:r>
        <w:rPr>
          <w:rFonts w:cs="Arial" w:ascii="Arial" w:hAnsi="Arial"/>
          <w:sz w:val="24"/>
        </w:rPr>
        <w:t>Safe and efficient arrangements to safeguard public money:</w:t>
      </w:r>
    </w:p>
    <w:p>
      <w:pPr>
        <w:pStyle w:val="NoSpacing"/>
        <w:numPr>
          <w:ilvl w:val="0"/>
          <w:numId w:val="2"/>
        </w:numPr>
        <w:ind w:left="426" w:hanging="426"/>
        <w:rPr>
          <w:rFonts w:ascii="Arial" w:hAnsi="Arial" w:cs="Arial"/>
          <w:sz w:val="24"/>
        </w:rPr>
      </w:pPr>
      <w:r>
        <w:rPr>
          <w:rFonts w:cs="Arial" w:ascii="Arial" w:hAnsi="Arial"/>
          <w:sz w:val="24"/>
        </w:rPr>
        <w:t>Employment:</w:t>
      </w:r>
    </w:p>
    <w:p>
      <w:pPr>
        <w:pStyle w:val="NoSpacing"/>
        <w:numPr>
          <w:ilvl w:val="0"/>
          <w:numId w:val="2"/>
        </w:numPr>
        <w:ind w:left="426" w:hanging="426"/>
        <w:rPr>
          <w:rFonts w:ascii="Arial" w:hAnsi="Arial" w:cs="Arial"/>
          <w:sz w:val="24"/>
        </w:rPr>
      </w:pPr>
      <w:r>
        <w:rPr>
          <w:rFonts w:cs="Arial" w:ascii="Arial" w:hAnsi="Arial"/>
          <w:sz w:val="24"/>
        </w:rPr>
        <w:t>VAT</w:t>
      </w:r>
    </w:p>
    <w:p>
      <w:pPr>
        <w:pStyle w:val="NoSpacing"/>
        <w:numPr>
          <w:ilvl w:val="0"/>
          <w:numId w:val="2"/>
        </w:numPr>
        <w:ind w:left="426" w:hanging="426"/>
        <w:rPr>
          <w:rFonts w:ascii="Arial" w:hAnsi="Arial" w:cs="Arial"/>
          <w:sz w:val="24"/>
        </w:rPr>
      </w:pPr>
      <w:r>
        <w:rPr>
          <w:rFonts w:cs="Arial" w:ascii="Arial" w:hAnsi="Arial"/>
          <w:sz w:val="24"/>
        </w:rPr>
        <w:t>Fixed assets and equipment:</w:t>
      </w:r>
    </w:p>
    <w:p>
      <w:pPr>
        <w:pStyle w:val="NoSpacing"/>
        <w:numPr>
          <w:ilvl w:val="0"/>
          <w:numId w:val="2"/>
        </w:numPr>
        <w:ind w:left="426" w:hanging="426"/>
        <w:rPr>
          <w:rFonts w:ascii="Arial" w:hAnsi="Arial" w:cs="Arial"/>
          <w:sz w:val="24"/>
        </w:rPr>
      </w:pPr>
      <w:r>
        <w:rPr>
          <w:rFonts w:cs="Arial" w:ascii="Arial" w:hAnsi="Arial"/>
          <w:sz w:val="24"/>
        </w:rPr>
        <w:t>Loans and long-term liabilities: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 xml:space="preserve">AGS Assertion 3 — Compliance with laws, regulations and proper practices </w:t>
      </w:r>
    </w:p>
    <w:p>
      <w:pPr>
        <w:pStyle w:val="NoSpacing"/>
        <w:numPr>
          <w:ilvl w:val="0"/>
          <w:numId w:val="3"/>
        </w:numPr>
        <w:ind w:left="426" w:hanging="426"/>
        <w:rPr>
          <w:rFonts w:ascii="Arial" w:hAnsi="Arial" w:cs="Arial"/>
          <w:sz w:val="24"/>
        </w:rPr>
      </w:pPr>
      <w:r>
        <w:rPr>
          <w:rFonts w:cs="Arial" w:ascii="Arial" w:hAnsi="Arial"/>
          <w:sz w:val="24"/>
        </w:rPr>
        <w:t>Acting with its powers: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4 — Exercise of public rights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5 — Risk management</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6 — Internal audit</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7 — Reports from auditors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8 — Significant events</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9 — Trust funds (local councils only)</w:t>
      </w:r>
    </w:p>
    <w:p>
      <w:pPr>
        <w:pStyle w:val="NoSpacing"/>
        <w:rPr>
          <w:rFonts w:ascii="Arial" w:hAnsi="Arial" w:cs="Arial"/>
          <w:sz w:val="24"/>
        </w:rPr>
      </w:pPr>
      <w:r>
        <w:rPr>
          <w:rFonts w:cs="Arial" w:ascii="Arial" w:hAnsi="Arial"/>
          <w:sz w:val="24"/>
        </w:rPr>
      </w:r>
    </w:p>
    <w:p>
      <w:pPr>
        <w:pStyle w:val="NoSpacing"/>
        <w:rPr>
          <w:rFonts w:ascii="Arial" w:hAnsi="Arial" w:cs="Arial"/>
          <w:sz w:val="24"/>
        </w:rPr>
      </w:pPr>
      <w:r>
        <w:rPr>
          <w:rFonts w:cs="Arial" w:ascii="Arial" w:hAnsi="Arial"/>
          <w:sz w:val="24"/>
        </w:rPr>
        <w:t>AGS Assertion 10 — Digital and data compliance</w:t>
      </w:r>
    </w:p>
    <w:p>
      <w:pPr>
        <w:pStyle w:val="NoSpacing"/>
        <w:rPr>
          <w:rFonts w:ascii="Arial" w:hAnsi="Arial" w:cs="Arial"/>
          <w:sz w:val="24"/>
        </w:rPr>
      </w:pPr>
      <w:r>
        <w:rPr>
          <w:rFonts w:cs="Arial" w:ascii="Arial" w:hAnsi="Arial"/>
          <w:sz w:val="24"/>
        </w:rPr>
      </w:r>
    </w:p>
    <w:p>
      <w:pPr>
        <w:sectPr>
          <w:headerReference w:type="default" r:id="rId5"/>
          <w:footerReference w:type="default" r:id="rId6"/>
          <w:type w:val="nextPage"/>
          <w:pgSz w:w="11906" w:h="16838"/>
          <w:pgMar w:left="1440" w:right="1440" w:header="708" w:top="1440" w:footer="708" w:bottom="1440" w:gutter="0"/>
          <w:pgNumType w:fmt="decimal"/>
          <w:formProt w:val="false"/>
          <w:textDirection w:val="lrTb"/>
          <w:docGrid w:type="default" w:linePitch="360" w:charSpace="0"/>
        </w:sectPr>
        <w:pStyle w:val="NoSpacing"/>
        <w:rPr>
          <w:rFonts w:ascii="Arial" w:hAnsi="Arial" w:cs="Arial"/>
          <w:sz w:val="24"/>
        </w:rPr>
      </w:pPr>
      <w:r>
        <w:rPr>
          <w:rFonts w:cs="Arial" w:ascii="Arial" w:hAnsi="Arial"/>
          <w:sz w:val="24"/>
        </w:rPr>
        <w:t>The following headings are based on Section 1</w:t>
      </w:r>
      <w:r>
        <w:rPr/>
        <w:t xml:space="preserve"> </w:t>
      </w:r>
      <w:r>
        <w:rPr>
          <w:rFonts w:cs="Arial" w:ascii="Arial" w:hAnsi="Arial"/>
          <w:sz w:val="24"/>
        </w:rPr>
        <w:t xml:space="preserve">– Annual Governance Statement. </w:t>
      </w:r>
    </w:p>
    <w:p>
      <w:pPr>
        <w:pStyle w:val="NoSpacing"/>
        <w:rPr>
          <w:rFonts w:ascii="Arial" w:hAnsi="Arial" w:cs="Arial"/>
          <w:b/>
          <w:b/>
          <w:bCs/>
          <w:sz w:val="24"/>
          <w:szCs w:val="24"/>
        </w:rPr>
      </w:pPr>
      <w:r>
        <w:rPr>
          <w:rFonts w:cs="Arial" w:ascii="Arial" w:hAnsi="Arial"/>
          <w:b/>
          <w:bCs/>
          <w:sz w:val="24"/>
          <w:szCs w:val="24"/>
        </w:rPr>
        <w:t>A. Appropriate accounting records have been properly kept throughout the financial year.</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The Parish Clerk has been appointed the RFO as required under S151 of LGA 1972. This is clearly stated on the website. </w:t>
      </w:r>
    </w:p>
    <w:p>
      <w:pPr>
        <w:pStyle w:val="NoSpacing"/>
        <w:rPr>
          <w:rFonts w:ascii="Arial" w:hAnsi="Arial" w:cs="Arial"/>
          <w:sz w:val="24"/>
          <w:szCs w:val="24"/>
        </w:rPr>
      </w:pPr>
      <w:r>
        <w:rPr>
          <w:rFonts w:cs="Arial" w:ascii="Arial" w:hAnsi="Arial"/>
          <w:sz w:val="24"/>
          <w:szCs w:val="24"/>
        </w:rPr>
      </w:r>
    </w:p>
    <w:p>
      <w:pPr>
        <w:pStyle w:val="NoSpacing"/>
        <w:tabs>
          <w:tab w:val="clear" w:pos="720"/>
          <w:tab w:val="left" w:pos="5558" w:leader="none"/>
        </w:tabs>
        <w:rPr>
          <w:rFonts w:ascii="Arial" w:hAnsi="Arial" w:cs="Arial"/>
          <w:sz w:val="24"/>
          <w:szCs w:val="24"/>
        </w:rPr>
      </w:pPr>
      <w:r>
        <w:rPr>
          <w:rFonts w:cs="Arial" w:ascii="Arial" w:hAnsi="Arial"/>
          <w:sz w:val="24"/>
          <w:szCs w:val="24"/>
        </w:rPr>
        <w:t xml:space="preserve">The roll over figure is £14,388 (Box 7). </w:t>
      </w:r>
    </w:p>
    <w:p>
      <w:pPr>
        <w:pStyle w:val="NoSpacing"/>
        <w:tabs>
          <w:tab w:val="clear" w:pos="720"/>
          <w:tab w:val="left" w:pos="5558" w:leader="none"/>
        </w:tabs>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maintains its accounts using the Scribe accounting system. A sample of the financial transactions between 1</w:t>
      </w:r>
      <w:r>
        <w:rPr>
          <w:rFonts w:cs="Arial" w:ascii="Arial" w:hAnsi="Arial"/>
          <w:sz w:val="24"/>
          <w:szCs w:val="24"/>
          <w:vertAlign w:val="superscript"/>
        </w:rPr>
        <w:t>st</w:t>
      </w:r>
      <w:r>
        <w:rPr>
          <w:rFonts w:cs="Arial" w:ascii="Arial" w:hAnsi="Arial"/>
          <w:sz w:val="24"/>
          <w:szCs w:val="24"/>
        </w:rPr>
        <w:t xml:space="preserve"> April and 31</w:t>
      </w:r>
      <w:r>
        <w:rPr>
          <w:rFonts w:cs="Arial" w:ascii="Arial" w:hAnsi="Arial"/>
          <w:sz w:val="24"/>
          <w:szCs w:val="24"/>
          <w:vertAlign w:val="superscript"/>
        </w:rPr>
        <w:t>st</w:t>
      </w:r>
      <w:r>
        <w:rPr>
          <w:rFonts w:cs="Arial" w:ascii="Arial" w:hAnsi="Arial"/>
          <w:sz w:val="24"/>
          <w:szCs w:val="24"/>
        </w:rPr>
        <w:t xml:space="preserve"> March 2026 has been undertaken. The following checks were carried out:</w:t>
      </w:r>
    </w:p>
    <w:p>
      <w:pPr>
        <w:pStyle w:val="NoSpacing"/>
        <w:numPr>
          <w:ilvl w:val="0"/>
          <w:numId w:val="4"/>
        </w:numPr>
        <w:ind w:left="426" w:hanging="426"/>
        <w:rPr>
          <w:rFonts w:ascii="Arial" w:hAnsi="Arial" w:cs="Arial"/>
          <w:sz w:val="24"/>
          <w:szCs w:val="24"/>
        </w:rPr>
      </w:pPr>
      <w:r>
        <w:rPr>
          <w:rFonts w:cs="Arial" w:ascii="Arial" w:hAnsi="Arial"/>
          <w:sz w:val="24"/>
          <w:szCs w:val="24"/>
        </w:rPr>
        <w:t>A review of the cashbook against the bank statements and invoices paid;</w:t>
      </w:r>
    </w:p>
    <w:p>
      <w:pPr>
        <w:pStyle w:val="NoSpacing"/>
        <w:numPr>
          <w:ilvl w:val="0"/>
          <w:numId w:val="4"/>
        </w:numPr>
        <w:ind w:left="426" w:hanging="426"/>
        <w:rPr>
          <w:rFonts w:ascii="Arial" w:hAnsi="Arial" w:cs="Arial"/>
          <w:sz w:val="24"/>
          <w:szCs w:val="24"/>
        </w:rPr>
      </w:pPr>
      <w:r>
        <w:rPr>
          <w:rFonts w:cs="Arial" w:ascii="Arial" w:hAnsi="Arial"/>
          <w:sz w:val="24"/>
          <w:szCs w:val="24"/>
        </w:rPr>
        <w:t>A sample of Payments have been checked against the bank statements to verify accuracy;</w:t>
      </w:r>
    </w:p>
    <w:p>
      <w:pPr>
        <w:pStyle w:val="NoSpacing"/>
        <w:numPr>
          <w:ilvl w:val="0"/>
          <w:numId w:val="4"/>
        </w:numPr>
        <w:ind w:left="426" w:hanging="426"/>
        <w:rPr>
          <w:rFonts w:ascii="Arial" w:hAnsi="Arial" w:cs="Arial"/>
          <w:sz w:val="24"/>
          <w:szCs w:val="24"/>
        </w:rPr>
      </w:pPr>
      <w:r>
        <w:rPr>
          <w:rFonts w:cs="Arial" w:ascii="Arial" w:hAnsi="Arial"/>
          <w:sz w:val="24"/>
          <w:szCs w:val="24"/>
        </w:rPr>
        <w:t>Expenditure incurred is appropriate.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There is a proper process in place to ensure that financial information is correctly recorded and reported to Council as part of its governance procedures.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A list of payments is presented to Council at each meeting. Approvals are minuted in the Council minutes and payment is via online banking. All payments are authorised by two Councillors. </w:t>
      </w:r>
      <w:r>
        <w:rPr>
          <w:rFonts w:cs="Arial" w:ascii="Arial" w:hAnsi="Arial"/>
          <w:b/>
          <w:bCs/>
          <w:sz w:val="24"/>
          <w:szCs w:val="24"/>
        </w:rPr>
        <w:t>It is recommended that the quarterly financial reports are published as part of the agenda supporting papers.</w:t>
      </w:r>
    </w:p>
    <w:p>
      <w:pPr>
        <w:pStyle w:val="NoSpacing"/>
        <w:ind w:left="426" w:hanging="0"/>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The Council has a </w:t>
      </w:r>
      <w:hyperlink r:id="rId7">
        <w:r>
          <w:rPr>
            <w:rStyle w:val="InternetLink"/>
            <w:rFonts w:cs="Arial" w:ascii="Arial" w:hAnsi="Arial"/>
            <w:sz w:val="24"/>
            <w:szCs w:val="24"/>
          </w:rPr>
          <w:t>Business Risk Register</w:t>
        </w:r>
      </w:hyperlink>
      <w:r>
        <w:rPr>
          <w:rFonts w:cs="Arial" w:ascii="Arial" w:hAnsi="Arial"/>
          <w:sz w:val="24"/>
          <w:szCs w:val="24"/>
        </w:rPr>
        <w:t xml:space="preserve"> in place which is available on the website. </w:t>
      </w:r>
    </w:p>
    <w:p>
      <w:pPr>
        <w:pStyle w:val="NoSpacing"/>
        <w:ind w:left="426" w:hanging="0"/>
        <w:rPr>
          <w:rFonts w:ascii="Arial" w:hAnsi="Arial" w:cs="Arial"/>
          <w:b/>
          <w:b/>
          <w:bCs/>
          <w:sz w:val="24"/>
          <w:szCs w:val="24"/>
        </w:rPr>
      </w:pPr>
      <w:r>
        <w:rPr>
          <w:rFonts w:cs="Arial" w:ascii="Arial" w:hAnsi="Arial"/>
          <w:b/>
          <w:bCs/>
          <w:sz w:val="24"/>
          <w:szCs w:val="24"/>
        </w:rPr>
      </w:r>
    </w:p>
    <w:p>
      <w:pPr>
        <w:pStyle w:val="NoSpacing"/>
        <w:rPr>
          <w:rFonts w:ascii="Arial" w:hAnsi="Arial" w:cs="Arial"/>
          <w:sz w:val="24"/>
          <w:szCs w:val="24"/>
        </w:rPr>
      </w:pPr>
      <w:r>
        <w:rPr>
          <w:rFonts w:cs="Arial" w:ascii="Arial" w:hAnsi="Arial"/>
          <w:sz w:val="24"/>
          <w:szCs w:val="24"/>
        </w:rPr>
        <w:t xml:space="preserve">There is appropriate segregation in place and an adequate process to enable the detection and identification of potential fraud.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year end bank reconciliation has been completed. This was referenced back to the bank statements. The final balance held by the Council amounts to £18,718.63 as at 31</w:t>
      </w:r>
      <w:r>
        <w:rPr>
          <w:rFonts w:cs="Arial" w:ascii="Arial" w:hAnsi="Arial"/>
          <w:sz w:val="24"/>
          <w:szCs w:val="24"/>
          <w:vertAlign w:val="superscript"/>
        </w:rPr>
        <w:t>st</w:t>
      </w:r>
      <w:r>
        <w:rPr>
          <w:rFonts w:cs="Arial" w:ascii="Arial" w:hAnsi="Arial"/>
          <w:sz w:val="24"/>
          <w:szCs w:val="24"/>
        </w:rPr>
        <w:t xml:space="preserve"> March 2026.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B. This authority complied with its financial regulations, payments were supported by invoices, all expenditure was approved and VAT was appropriately accounted for.</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Tenders and Contracts are governed by Financial Regulations. All contracts being tendered should be published on the Parish Council’s website as well as the Find a Tender portal where required.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Standing Orders are based on an older version of the NALC template and still contain out of date financial limits that were in place prior to the UK leaving the EU. </w:t>
      </w:r>
      <w:r>
        <w:rPr>
          <w:rFonts w:cs="Arial" w:ascii="Arial" w:hAnsi="Arial"/>
          <w:b/>
          <w:bCs/>
          <w:sz w:val="24"/>
          <w:szCs w:val="24"/>
        </w:rPr>
        <w:t>It is recommended that Sections 14 and 18 of Standing Orders be updated to reflect the recent legislative changes including the Procurement Act 2023.</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Financial Regulations are based on an older version of the NALC template and still contain out of date financial limits that were in place prior to the UK leaving the EU. </w:t>
      </w:r>
    </w:p>
    <w:p>
      <w:pPr>
        <w:pStyle w:val="NoSpacing"/>
        <w:rPr>
          <w:rFonts w:ascii="Arial" w:hAnsi="Arial" w:cs="Arial"/>
          <w:sz w:val="24"/>
          <w:szCs w:val="24"/>
        </w:rPr>
      </w:pPr>
      <w:r>
        <w:rPr>
          <w:rFonts w:cs="Arial" w:ascii="Arial" w:hAnsi="Arial"/>
          <w:b/>
          <w:bCs/>
          <w:sz w:val="24"/>
          <w:szCs w:val="24"/>
        </w:rPr>
        <w:t>It is recommended that the Financial Regulations be updated to reflect the recent legislative changes including the Procurement Act 2023. NALC has significantly redrafted these Regulations to include new tender and procurement limits as well as other financial limits.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financial limits in the two documents are now out of date and require updating.</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invoices procedure is as follows:</w:t>
      </w:r>
    </w:p>
    <w:p>
      <w:pPr>
        <w:pStyle w:val="NoSpacing"/>
        <w:numPr>
          <w:ilvl w:val="0"/>
          <w:numId w:val="7"/>
        </w:numPr>
        <w:ind w:left="426" w:hanging="426"/>
        <w:rPr>
          <w:rFonts w:ascii="Arial" w:hAnsi="Arial" w:cs="Arial"/>
          <w:sz w:val="24"/>
          <w:szCs w:val="24"/>
        </w:rPr>
      </w:pPr>
      <w:r>
        <w:rPr>
          <w:rFonts w:cs="Arial" w:ascii="Arial" w:hAnsi="Arial"/>
          <w:sz w:val="24"/>
          <w:szCs w:val="24"/>
        </w:rPr>
        <w:t>On receipt of invoice Clerk reviews for accuracy;</w:t>
      </w:r>
    </w:p>
    <w:p>
      <w:pPr>
        <w:pStyle w:val="NoSpacing"/>
        <w:numPr>
          <w:ilvl w:val="0"/>
          <w:numId w:val="7"/>
        </w:numPr>
        <w:ind w:left="426" w:hanging="426"/>
        <w:rPr>
          <w:rFonts w:ascii="Arial" w:hAnsi="Arial" w:cs="Arial"/>
          <w:sz w:val="24"/>
          <w:szCs w:val="24"/>
        </w:rPr>
      </w:pPr>
      <w:r>
        <w:rPr>
          <w:rFonts w:cs="Arial" w:ascii="Arial" w:hAnsi="Arial"/>
          <w:sz w:val="24"/>
          <w:szCs w:val="24"/>
        </w:rPr>
        <w:t>Invoices are entered onto Scribe;</w:t>
      </w:r>
    </w:p>
    <w:p>
      <w:pPr>
        <w:pStyle w:val="NoSpacing"/>
        <w:numPr>
          <w:ilvl w:val="0"/>
          <w:numId w:val="7"/>
        </w:numPr>
        <w:ind w:left="426" w:hanging="426"/>
        <w:rPr>
          <w:rFonts w:ascii="Arial" w:hAnsi="Arial" w:cs="Arial"/>
          <w:sz w:val="24"/>
          <w:szCs w:val="24"/>
        </w:rPr>
      </w:pPr>
      <w:r>
        <w:rPr>
          <w:rFonts w:cs="Arial" w:ascii="Arial" w:hAnsi="Arial"/>
          <w:sz w:val="24"/>
          <w:szCs w:val="24"/>
        </w:rPr>
        <w:t>Payment schedule presented at each meeting for approval;</w:t>
      </w:r>
    </w:p>
    <w:p>
      <w:pPr>
        <w:pStyle w:val="NoSpacing"/>
        <w:numPr>
          <w:ilvl w:val="0"/>
          <w:numId w:val="7"/>
        </w:numPr>
        <w:ind w:left="426" w:hanging="426"/>
        <w:rPr>
          <w:rFonts w:ascii="Arial" w:hAnsi="Arial" w:cs="Arial"/>
          <w:sz w:val="24"/>
          <w:szCs w:val="24"/>
        </w:rPr>
      </w:pPr>
      <w:r>
        <w:rPr>
          <w:rFonts w:cs="Arial" w:ascii="Arial" w:hAnsi="Arial"/>
          <w:sz w:val="24"/>
          <w:szCs w:val="24"/>
        </w:rPr>
        <w:t>Payments ratified at each meeting;</w:t>
      </w:r>
    </w:p>
    <w:p>
      <w:pPr>
        <w:pStyle w:val="NoSpacing"/>
        <w:numPr>
          <w:ilvl w:val="0"/>
          <w:numId w:val="7"/>
        </w:numPr>
        <w:ind w:left="426" w:hanging="426"/>
        <w:rPr>
          <w:rFonts w:ascii="Arial" w:hAnsi="Arial" w:cs="Arial"/>
          <w:sz w:val="24"/>
          <w:szCs w:val="24"/>
        </w:rPr>
      </w:pPr>
      <w:r>
        <w:rPr>
          <w:rFonts w:cs="Arial" w:ascii="Arial" w:hAnsi="Arial"/>
          <w:sz w:val="24"/>
          <w:szCs w:val="24"/>
        </w:rPr>
        <w:t>Clerk uploads transactions on banking app and all payments are approved by two Councillor signatories.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There is appropriate segregation in place.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VAT is claimed annually. One VAT claim has been received during the year. A claim of £323.21 was received on 07/07/2025. The VAT for 2026/26 amounting to £416.40 is now ready to be reclaimed.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does not have a credit or debit card in place.</w:t>
      </w:r>
    </w:p>
    <w:p>
      <w:pPr>
        <w:pStyle w:val="NoSpacing"/>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sz w:val="24"/>
          <w:szCs w:val="24"/>
        </w:rPr>
      </w:pPr>
      <w:r>
        <w:rPr>
          <w:rFonts w:cs="Arial" w:ascii="Arial" w:hAnsi="Arial"/>
          <w:sz w:val="24"/>
          <w:szCs w:val="24"/>
        </w:rPr>
        <w:t xml:space="preserve">The Council does not have General Power of Competence in place.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C. This authority assessed the significant risks to achieving its objectives and reviewed the adequacy of arrangements to manage these.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The Council has a Business Risk Management Policy in place.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rPr>
      </w:pPr>
      <w:r>
        <w:rPr>
          <w:rFonts w:cs="Arial" w:ascii="Arial" w:hAnsi="Arial"/>
          <w:sz w:val="24"/>
          <w:szCs w:val="24"/>
        </w:rPr>
        <w:t xml:space="preserve">The Council is </w:t>
      </w:r>
      <w:r>
        <w:rPr>
          <w:rFonts w:cs="Arial" w:ascii="Arial" w:hAnsi="Arial"/>
          <w:sz w:val="24"/>
        </w:rPr>
        <w:t>insured with Zurich Policy Number YLL-2720417783. Cover runs from 17</w:t>
      </w:r>
      <w:r>
        <w:rPr>
          <w:rFonts w:cs="Arial" w:ascii="Arial" w:hAnsi="Arial"/>
          <w:sz w:val="24"/>
          <w:vertAlign w:val="superscript"/>
        </w:rPr>
        <w:t>th</w:t>
      </w:r>
      <w:r>
        <w:rPr>
          <w:rFonts w:cs="Arial" w:ascii="Arial" w:hAnsi="Arial"/>
          <w:sz w:val="24"/>
        </w:rPr>
        <w:t xml:space="preserve"> June 2025 to 31</w:t>
      </w:r>
      <w:r>
        <w:rPr>
          <w:rFonts w:cs="Arial" w:ascii="Arial" w:hAnsi="Arial"/>
          <w:sz w:val="24"/>
          <w:vertAlign w:val="superscript"/>
        </w:rPr>
        <w:t>st</w:t>
      </w:r>
      <w:r>
        <w:rPr>
          <w:rFonts w:cs="Arial" w:ascii="Arial" w:hAnsi="Arial"/>
          <w:sz w:val="24"/>
        </w:rPr>
        <w:t xml:space="preserve"> May 2026. Includes public liability (£12 million), Employers liability (£10 million) and a Fidelity Guarantee (£25,000).</w:t>
      </w:r>
    </w:p>
    <w:p>
      <w:pPr>
        <w:pStyle w:val="NoSpacing"/>
        <w:rPr>
          <w:rFonts w:ascii="Arial" w:hAnsi="Arial" w:cs="Arial"/>
          <w:sz w:val="24"/>
          <w:highlight w:val="yellow"/>
        </w:rPr>
      </w:pPr>
      <w:r>
        <w:rPr>
          <w:rFonts w:cs="Arial" w:ascii="Arial" w:hAnsi="Arial"/>
          <w:sz w:val="24"/>
          <w:highlight w:val="yellow"/>
        </w:rPr>
      </w:r>
    </w:p>
    <w:p>
      <w:pPr>
        <w:pStyle w:val="NoSpacing"/>
        <w:rPr>
          <w:rFonts w:ascii="Arial" w:hAnsi="Arial" w:cs="Arial"/>
          <w:sz w:val="24"/>
        </w:rPr>
      </w:pPr>
      <w:r>
        <w:rPr>
          <w:rFonts w:cs="Arial" w:ascii="Arial" w:hAnsi="Arial"/>
          <w:sz w:val="24"/>
        </w:rPr>
        <w:t xml:space="preserve">A review of the insurance policy has been undertaken and Council is adequately insured. </w:t>
      </w:r>
    </w:p>
    <w:p>
      <w:pPr>
        <w:pStyle w:val="NoSpacing"/>
        <w:rPr>
          <w:rFonts w:ascii="Arial" w:hAnsi="Arial" w:cs="Arial"/>
          <w:sz w:val="24"/>
        </w:rPr>
      </w:pPr>
      <w:r>
        <w:rPr>
          <w:rFonts w:cs="Arial" w:ascii="Arial" w:hAnsi="Arial"/>
          <w:sz w:val="24"/>
        </w:rPr>
      </w:r>
    </w:p>
    <w:p>
      <w:pPr>
        <w:pStyle w:val="NoSpacing"/>
        <w:rPr>
          <w:rFonts w:ascii="Arial" w:hAnsi="Arial" w:cs="Arial"/>
          <w:b/>
          <w:b/>
          <w:bCs/>
          <w:sz w:val="24"/>
          <w:szCs w:val="24"/>
        </w:rPr>
      </w:pPr>
      <w:r>
        <w:rPr>
          <w:rFonts w:cs="Arial" w:ascii="Arial" w:hAnsi="Arial"/>
          <w:sz w:val="24"/>
          <w:szCs w:val="24"/>
        </w:rPr>
        <w:t xml:space="preserve">The Council is responsible for a play area. </w:t>
      </w:r>
      <w:hyperlink r:id="rId8">
        <w:r>
          <w:rPr>
            <w:rStyle w:val="InternetLink"/>
            <w:rFonts w:cs="Arial" w:ascii="Arial" w:hAnsi="Arial"/>
            <w:sz w:val="24"/>
            <w:szCs w:val="24"/>
          </w:rPr>
          <w:t>Recreation Area – Charlton Musgrove Parish Council</w:t>
        </w:r>
      </w:hyperlink>
      <w:r>
        <w:rPr>
          <w:rFonts w:cs="Arial" w:ascii="Arial" w:hAnsi="Arial"/>
          <w:sz w:val="24"/>
          <w:szCs w:val="24"/>
        </w:rPr>
        <w:t xml:space="preserve"> The website indicates that the play area is temporarily closed. The Recreation Area is inspected each year by an independent inspector. Inspections are also carried out by the Parish Council during the year and there is a reporting mechanism on the webpage to report any damage.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The Council has adequate internal controls in place to ensure that it carries out its day-to-day business effectively and efficiently. </w:t>
      </w:r>
    </w:p>
    <w:p>
      <w:pPr>
        <w:pStyle w:val="NoSpacing"/>
        <w:rPr>
          <w:rFonts w:ascii="Arial" w:hAnsi="Arial" w:cs="Arial"/>
          <w:bCs/>
          <w:sz w:val="24"/>
          <w:szCs w:val="24"/>
        </w:rPr>
      </w:pPr>
      <w:r>
        <w:rPr>
          <w:rFonts w:cs="Arial" w:ascii="Arial" w:hAnsi="Arial"/>
          <w:bCs/>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bCs/>
          <w:sz w:val="24"/>
          <w:szCs w:val="24"/>
        </w:rPr>
      </w:pPr>
      <w:r>
        <w:rPr>
          <w:rFonts w:cs="Arial" w:ascii="Arial" w:hAnsi="Arial"/>
          <w:bCs/>
          <w:sz w:val="24"/>
          <w:szCs w:val="24"/>
        </w:rPr>
      </w:r>
    </w:p>
    <w:p>
      <w:pPr>
        <w:pStyle w:val="NoSpacing"/>
        <w:rPr>
          <w:rFonts w:ascii="Arial" w:hAnsi="Arial" w:cs="Arial"/>
          <w:b/>
          <w:b/>
          <w:bCs/>
          <w:sz w:val="24"/>
          <w:szCs w:val="24"/>
        </w:rPr>
      </w:pPr>
      <w:r>
        <w:rPr>
          <w:rFonts w:cs="Arial" w:ascii="Arial" w:hAnsi="Arial"/>
          <w:b/>
          <w:bCs/>
          <w:sz w:val="24"/>
          <w:szCs w:val="24"/>
        </w:rPr>
        <w:t>D. The precept or rates requirement resulted from an adequate budgetary process; progress against the budget was regularly monitored; and reserves were appropriate.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At its meeting held on 14</w:t>
      </w:r>
      <w:r>
        <w:rPr>
          <w:rFonts w:cs="Arial" w:ascii="Arial" w:hAnsi="Arial"/>
          <w:sz w:val="24"/>
          <w:szCs w:val="24"/>
          <w:vertAlign w:val="superscript"/>
        </w:rPr>
        <w:t>th</w:t>
      </w:r>
      <w:r>
        <w:rPr>
          <w:rFonts w:cs="Arial" w:ascii="Arial" w:hAnsi="Arial"/>
          <w:sz w:val="24"/>
          <w:szCs w:val="24"/>
        </w:rPr>
        <w:t xml:space="preserve"> January 2025 Full Council formally approved the budget and the setting of a precept. (Minute 24/96). Precept Resolved was £8,550.</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It has been confirmed that a precept of £8,550 was requested. (MHCLG Parish Code E3301P059)</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Budget monitoring is undertaken quarterly and during budget and precept setting time.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The Council has not set up Earmarked Reserves but has received CIL income during the year which should be ringfenced. </w:t>
      </w:r>
      <w:r>
        <w:rPr>
          <w:rFonts w:cs="Arial" w:ascii="Arial" w:hAnsi="Arial"/>
          <w:b/>
          <w:bCs/>
          <w:sz w:val="24"/>
          <w:szCs w:val="24"/>
        </w:rPr>
        <w:t>It is strongly recommended that Earmarked Reserves are set up as the Council should only retain a General Reserve with a maximum fund equivalent of its annual precept.</w:t>
      </w:r>
      <w:r>
        <w:rPr>
          <w:rFonts w:cs="Arial" w:ascii="Arial" w:hAnsi="Arial"/>
          <w:sz w:val="24"/>
          <w:szCs w:val="24"/>
        </w:rPr>
        <w:t xml:space="preserv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has an adequate General Reserve to meet the current recommendations in place with a specific recommendation that EMRs are allocated.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had the following Bank Statement Balances as at 31</w:t>
      </w:r>
      <w:r>
        <w:rPr>
          <w:rFonts w:cs="Arial" w:ascii="Arial" w:hAnsi="Arial"/>
          <w:sz w:val="24"/>
          <w:szCs w:val="24"/>
          <w:vertAlign w:val="superscript"/>
        </w:rPr>
        <w:t>st</w:t>
      </w:r>
      <w:r>
        <w:rPr>
          <w:rFonts w:cs="Arial" w:ascii="Arial" w:hAnsi="Arial"/>
          <w:sz w:val="24"/>
          <w:szCs w:val="24"/>
        </w:rPr>
        <w:t xml:space="preserve"> March 2026:</w:t>
      </w:r>
    </w:p>
    <w:p>
      <w:pPr>
        <w:pStyle w:val="NoSpacing"/>
        <w:rPr>
          <w:rFonts w:ascii="Arial" w:hAnsi="Arial" w:cs="Arial"/>
          <w:sz w:val="24"/>
          <w:szCs w:val="24"/>
        </w:rPr>
      </w:pPr>
      <w:r>
        <w:rPr>
          <w:rFonts w:cs="Arial" w:ascii="Arial" w:hAnsi="Arial"/>
          <w:sz w:val="24"/>
          <w:szCs w:val="24"/>
        </w:rPr>
      </w:r>
    </w:p>
    <w:tbl>
      <w:tblPr>
        <w:tblStyle w:val="TableGrid"/>
        <w:tblW w:w="6991" w:type="dxa"/>
        <w:jc w:val="left"/>
        <w:tblInd w:w="0" w:type="dxa"/>
        <w:tblCellMar>
          <w:top w:w="0" w:type="dxa"/>
          <w:left w:w="108" w:type="dxa"/>
          <w:bottom w:w="0" w:type="dxa"/>
          <w:right w:w="108" w:type="dxa"/>
        </w:tblCellMar>
        <w:tblLook w:firstRow="1" w:noVBand="1" w:lastRow="0" w:firstColumn="1" w:lastColumn="0" w:noHBand="0" w:val="04a0"/>
      </w:tblPr>
      <w:tblGrid>
        <w:gridCol w:w="5239"/>
        <w:gridCol w:w="1751"/>
      </w:tblGrid>
      <w:tr>
        <w:trPr/>
        <w:tc>
          <w:tcPr>
            <w:tcW w:w="5239" w:type="dxa"/>
            <w:tcBorders/>
            <w:shd w:color="auto" w:fill="F7CAAC" w:themeFill="accent2" w:themeFillTint="66" w:val="clear"/>
          </w:tcPr>
          <w:p>
            <w:pPr>
              <w:pStyle w:val="NoSpacing"/>
              <w:rPr>
                <w:rFonts w:ascii="Arial" w:hAnsi="Arial" w:cs="Arial"/>
                <w:b/>
                <w:b/>
                <w:sz w:val="24"/>
              </w:rPr>
            </w:pPr>
            <w:r>
              <w:rPr>
                <w:rFonts w:cs="Arial" w:ascii="Arial" w:hAnsi="Arial"/>
                <w:b/>
                <w:sz w:val="24"/>
              </w:rPr>
              <w:t>ACCOUNT</w:t>
            </w:r>
          </w:p>
        </w:tc>
        <w:tc>
          <w:tcPr>
            <w:tcW w:w="1751" w:type="dxa"/>
            <w:tcBorders/>
            <w:shd w:color="auto" w:fill="F7CAAC" w:themeFill="accent2" w:themeFillTint="66" w:val="clear"/>
          </w:tcPr>
          <w:p>
            <w:pPr>
              <w:pStyle w:val="NoSpacing"/>
              <w:jc w:val="right"/>
              <w:rPr>
                <w:rFonts w:ascii="Arial" w:hAnsi="Arial" w:cs="Arial"/>
                <w:b/>
                <w:b/>
                <w:sz w:val="24"/>
              </w:rPr>
            </w:pPr>
            <w:r>
              <w:rPr>
                <w:rFonts w:cs="Arial" w:ascii="Arial" w:hAnsi="Arial"/>
                <w:b/>
                <w:sz w:val="24"/>
              </w:rPr>
              <w:t>AMOUNT</w:t>
            </w:r>
          </w:p>
        </w:tc>
      </w:tr>
      <w:tr>
        <w:trPr/>
        <w:tc>
          <w:tcPr>
            <w:tcW w:w="5239" w:type="dxa"/>
            <w:tcBorders/>
            <w:vAlign w:val="bottom"/>
          </w:tcPr>
          <w:p>
            <w:pPr>
              <w:pStyle w:val="NoSpacing"/>
              <w:rPr>
                <w:rFonts w:ascii="Arial" w:hAnsi="Arial" w:cs="Arial"/>
                <w:sz w:val="24"/>
              </w:rPr>
            </w:pPr>
            <w:r>
              <w:rPr>
                <w:rFonts w:cs="Arial" w:ascii="Arial" w:hAnsi="Arial"/>
                <w:sz w:val="24"/>
              </w:rPr>
              <w:t>Unity Trust Current A/C</w:t>
            </w:r>
          </w:p>
        </w:tc>
        <w:tc>
          <w:tcPr>
            <w:tcW w:w="1751" w:type="dxa"/>
            <w:tcBorders/>
            <w:vAlign w:val="bottom"/>
          </w:tcPr>
          <w:p>
            <w:pPr>
              <w:pStyle w:val="NoSpacing"/>
              <w:jc w:val="right"/>
              <w:rPr>
                <w:rFonts w:ascii="Arial" w:hAnsi="Arial" w:cs="Arial"/>
                <w:sz w:val="24"/>
                <w:szCs w:val="24"/>
              </w:rPr>
            </w:pPr>
            <w:r>
              <w:rPr>
                <w:rFonts w:cs="Arial" w:ascii="Arial" w:hAnsi="Arial"/>
                <w:sz w:val="24"/>
                <w:szCs w:val="24"/>
              </w:rPr>
              <w:t>£18,718.63</w:t>
            </w:r>
          </w:p>
        </w:tc>
      </w:tr>
      <w:tr>
        <w:trPr/>
        <w:tc>
          <w:tcPr>
            <w:tcW w:w="5239" w:type="dxa"/>
            <w:tcBorders/>
          </w:tcPr>
          <w:p>
            <w:pPr>
              <w:pStyle w:val="NoSpacing"/>
              <w:rPr>
                <w:rFonts w:ascii="Arial" w:hAnsi="Arial" w:cs="Arial"/>
                <w:b/>
                <w:b/>
                <w:bCs/>
                <w:sz w:val="24"/>
              </w:rPr>
            </w:pPr>
            <w:r>
              <w:rPr>
                <w:rFonts w:cs="Arial" w:ascii="Arial" w:hAnsi="Arial"/>
                <w:b/>
                <w:bCs/>
                <w:sz w:val="24"/>
              </w:rPr>
              <w:t>TOTAL</w:t>
            </w:r>
          </w:p>
        </w:tc>
        <w:tc>
          <w:tcPr>
            <w:tcW w:w="1751" w:type="dxa"/>
            <w:tcBorders/>
          </w:tcPr>
          <w:p>
            <w:pPr>
              <w:pStyle w:val="NoSpacing"/>
              <w:jc w:val="right"/>
              <w:rPr>
                <w:rFonts w:ascii="Arial" w:hAnsi="Arial" w:cs="Arial"/>
                <w:b/>
                <w:b/>
                <w:bCs/>
                <w:sz w:val="24"/>
              </w:rPr>
            </w:pPr>
            <w:r>
              <w:rPr>
                <w:rFonts w:cs="Arial" w:ascii="Arial" w:hAnsi="Arial"/>
                <w:b/>
                <w:bCs/>
                <w:sz w:val="24"/>
              </w:rPr>
              <w:t>£18,718.63</w:t>
            </w:r>
          </w:p>
        </w:tc>
      </w:tr>
    </w:tbl>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b/>
          <w:b/>
          <w:bCs/>
          <w:sz w:val="24"/>
          <w:szCs w:val="24"/>
        </w:rPr>
      </w:pPr>
      <w:r>
        <w:rPr>
          <w:rFonts w:cs="Arial" w:ascii="Arial" w:hAnsi="Arial"/>
          <w:b/>
          <w:bCs/>
          <w:sz w:val="24"/>
          <w:szCs w:val="24"/>
        </w:rPr>
        <w:t>It is further recommended that Council considers opening a deposit account with Unity Trust to generate interest revenue from its balances.</w:t>
      </w:r>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b/>
          <w:b/>
          <w:bCs/>
          <w:sz w:val="24"/>
          <w:szCs w:val="24"/>
        </w:rPr>
      </w:pPr>
      <w:r>
        <w:rPr>
          <w:rFonts w:cs="Arial" w:ascii="Arial" w:hAnsi="Arial"/>
          <w:b/>
          <w:bCs/>
          <w:sz w:val="24"/>
          <w:szCs w:val="24"/>
        </w:rPr>
        <w:t>E. Expected income was fully received, based on correct prices, properly recorded and promptly banked; and VAT was appropriately accounted for.</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has no aged debtors.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does not manage an allotment site.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The Council is a burial authority and is responsible for the Cemetery: </w:t>
      </w:r>
      <w:hyperlink r:id="rId9">
        <w:r>
          <w:rPr>
            <w:rStyle w:val="InternetLink"/>
            <w:rFonts w:cs="Arial" w:ascii="Arial" w:hAnsi="Arial"/>
            <w:sz w:val="24"/>
            <w:szCs w:val="24"/>
          </w:rPr>
          <w:t>Cemetery – Charlton Musgrove Parish Council</w:t>
        </w:r>
      </w:hyperlink>
      <w:r>
        <w:rPr>
          <w:rFonts w:cs="Arial" w:ascii="Arial" w:hAnsi="Arial"/>
          <w:sz w:val="24"/>
          <w:szCs w:val="24"/>
        </w:rPr>
        <w:t>. No burials were recorded during the year.</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Council does not hire out any venues.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trike/>
          <w:sz w:val="24"/>
          <w:szCs w:val="24"/>
        </w:rPr>
      </w:pPr>
      <w:r>
        <w:rPr>
          <w:rFonts w:cs="Arial" w:ascii="Arial" w:hAnsi="Arial"/>
          <w:sz w:val="24"/>
          <w:szCs w:val="24"/>
        </w:rPr>
        <w:t>The Council does not have any leases in place.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Council’s other income for 2025/26 was donations for the play area and a CIL receipt.</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F. Cash payments were properly supported by receipts, all cash expenditure was approved and VAT appropriately accounted for.</w:t>
      </w:r>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sz w:val="24"/>
          <w:szCs w:val="24"/>
        </w:rPr>
      </w:pPr>
      <w:r>
        <w:rPr>
          <w:rFonts w:cs="Arial" w:ascii="Arial" w:hAnsi="Arial"/>
          <w:sz w:val="24"/>
          <w:szCs w:val="24"/>
        </w:rPr>
        <w:t xml:space="preserve">The Council does not operate a petty cash system and did not receive or make any cash payments during the financial year.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G. Salaries to employees and allowances to members were paid in accordance with this authority’s approvals, and PAYE and NI requirements were properly applied.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Clerk has a contract of employment in place based on the NALC model.</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Members do not receive a members’ allowance.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 sample of staff salaries has been checked and confirmed. Gross pay is calculated in accordance with the relevant NJC scale. Tax codes are included on the payslips and deductions properly calculated.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Payroll is undertaken using Brightpay software. Payslips and other reports are generated.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No Pension contributions are made.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 test sample was undertaken and it was confirmed that the correct net pay was paid to the employee with tax and NI contributions correctly deducted.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H. Asset and investments registers were complete and accurate and properly maintained.</w:t>
      </w:r>
    </w:p>
    <w:p>
      <w:pPr>
        <w:pStyle w:val="NoSpacing"/>
        <w:rPr>
          <w:rFonts w:ascii="Arial" w:hAnsi="Arial" w:cs="Arial"/>
          <w:i/>
          <w:i/>
          <w:iCs/>
          <w:color w:val="0070C0"/>
          <w:sz w:val="24"/>
          <w:szCs w:val="24"/>
        </w:rPr>
      </w:pPr>
      <w:r>
        <w:rPr>
          <w:rFonts w:cs="Arial" w:ascii="Arial" w:hAnsi="Arial"/>
          <w:i/>
          <w:iCs/>
          <w:color w:val="0070C0"/>
          <w:sz w:val="24"/>
          <w:szCs w:val="24"/>
        </w:rPr>
      </w:r>
    </w:p>
    <w:p>
      <w:pPr>
        <w:pStyle w:val="NoSpacing"/>
        <w:rPr>
          <w:rFonts w:ascii="Arial" w:hAnsi="Arial" w:cs="Arial"/>
          <w:b/>
          <w:b/>
          <w:bCs/>
          <w:sz w:val="24"/>
          <w:szCs w:val="24"/>
        </w:rPr>
      </w:pPr>
      <w:r>
        <w:rPr>
          <w:rFonts w:cs="Arial" w:ascii="Arial" w:hAnsi="Arial"/>
          <w:sz w:val="24"/>
          <w:szCs w:val="24"/>
        </w:rPr>
        <w:t>An Asset Register is in place and is maintained on the Scribe system. The value of assets stated in Box 9 of the AGAR is £</w:t>
      </w:r>
      <w:r>
        <w:rPr>
          <w:rFonts w:eastAsia="Times New Roman" w:cs="Arial" w:ascii="Arial" w:hAnsi="Arial"/>
          <w:kern w:val="0"/>
          <w:sz w:val="24"/>
          <w:szCs w:val="24"/>
          <w:lang w:eastAsia="en-GB"/>
          <w14:ligatures w14:val="none"/>
        </w:rPr>
        <w:t xml:space="preserve">13,300. The asset register has identified a number of assets that have been disposed of or removed. </w:t>
      </w:r>
      <w:r>
        <w:rPr>
          <w:rFonts w:eastAsia="Times New Roman" w:cs="Arial" w:ascii="Arial" w:hAnsi="Arial"/>
          <w:b/>
          <w:bCs/>
          <w:kern w:val="0"/>
          <w:sz w:val="24"/>
          <w:szCs w:val="24"/>
          <w:lang w:eastAsia="en-GB"/>
          <w14:ligatures w14:val="none"/>
        </w:rPr>
        <w:t>Note that the purchase value of each asset should be exclusive of VAT and should not be reduced in value all the time Council is in possession of it. There is a need to include a replacement value of assets to enable Council to plan for replacement.</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 comparison of the insurance schedule against the asset register has been undertaken. Council has adequate insurance cover in place.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Council has no long-term investments in place.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Council has does not have any loans in place.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I. Periodic bank account reconciliations were properly carried out during the year.</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Bank reconciliations are prepared on a monthly basis, reported to Full Council and signed off at the meetings.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b/>
          <w:b/>
          <w:bCs/>
          <w:sz w:val="24"/>
          <w:szCs w:val="24"/>
        </w:rPr>
      </w:pPr>
      <w:r>
        <w:rPr>
          <w:rFonts w:cs="Arial" w:ascii="Arial" w:hAnsi="Arial"/>
          <w:b/>
          <w:bCs/>
          <w:sz w:val="24"/>
          <w:szCs w:val="24"/>
        </w:rPr>
        <w:t>J.  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Accounts are maintained on a receipts and payments basis. Income and expenditure agrees to the cash book and is supported by an adequate audit trail.</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K. If the authority certified itself as exempt from a limited assurance review in 2024/25, it met the exemption criteria and correctly declared itself exempt. (If the authority had a limited assurance review of its 2024/25 AGAR tick “not covered”).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Council certified itself as exempt from a limited assurance review. The certificate of exemption has been uploaded onto the Council’s website.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Council minuted its exemption at its meeting held on 30</w:t>
      </w:r>
      <w:r>
        <w:rPr>
          <w:rFonts w:cs="Arial" w:ascii="Arial" w:hAnsi="Arial"/>
          <w:sz w:val="24"/>
          <w:szCs w:val="24"/>
          <w:vertAlign w:val="superscript"/>
        </w:rPr>
        <w:t>th</w:t>
      </w:r>
      <w:r>
        <w:rPr>
          <w:rFonts w:cs="Arial" w:ascii="Arial" w:hAnsi="Arial"/>
          <w:sz w:val="24"/>
          <w:szCs w:val="24"/>
        </w:rPr>
        <w:t xml:space="preserve"> June 2025. (Minute 25/18.b)</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L. The authority published the required information on a website/webpage up to date at the time of the internal audit in accordance with the relevant legislation.</w:t>
      </w:r>
    </w:p>
    <w:p>
      <w:pPr>
        <w:pStyle w:val="NoSpacing"/>
        <w:rPr>
          <w:rFonts w:ascii="Arial" w:hAnsi="Arial" w:cs="Arial"/>
          <w:sz w:val="24"/>
          <w:szCs w:val="24"/>
        </w:rPr>
      </w:pPr>
      <w:r>
        <w:rPr>
          <w:rFonts w:cs="Arial" w:ascii="Arial" w:hAnsi="Arial"/>
          <w:sz w:val="24"/>
          <w:szCs w:val="24"/>
        </w:rPr>
        <w:t>The following information should be published on the Parish Council’s website under the Smaller Authorities Transparency Code (</w:t>
      </w:r>
      <w:hyperlink r:id="rId10">
        <w:r>
          <w:rPr>
            <w:rStyle w:val="InternetLink"/>
            <w:rFonts w:cs="Arial" w:ascii="Arial" w:hAnsi="Arial"/>
            <w:sz w:val="24"/>
            <w:szCs w:val="24"/>
          </w:rPr>
          <w:t>SI/SR Template</w:t>
        </w:r>
      </w:hyperlink>
      <w:r>
        <w:rPr>
          <w:rFonts w:cs="Arial" w:ascii="Arial" w:hAnsi="Arial"/>
          <w:sz w:val="24"/>
          <w:szCs w:val="24"/>
        </w:rPr>
        <w:t>)</w:t>
      </w:r>
    </w:p>
    <w:p>
      <w:pPr>
        <w:pStyle w:val="NoSpacing"/>
        <w:rPr>
          <w:rFonts w:ascii="Arial" w:hAnsi="Arial" w:cs="Arial"/>
          <w:b/>
          <w:b/>
          <w:bCs/>
          <w:sz w:val="24"/>
          <w:szCs w:val="24"/>
          <w:highlight w:val="yellow"/>
        </w:rPr>
      </w:pPr>
      <w:r>
        <w:rPr>
          <w:rFonts w:cs="Arial" w:ascii="Arial" w:hAnsi="Arial"/>
          <w:b/>
          <w:bCs/>
          <w:sz w:val="24"/>
          <w:szCs w:val="24"/>
          <w:highlight w:val="yellow"/>
        </w:rPr>
      </w:r>
    </w:p>
    <w:p>
      <w:pPr>
        <w:pStyle w:val="NoSpacing"/>
        <w:rPr>
          <w:rFonts w:ascii="Arial" w:hAnsi="Arial" w:cs="Arial"/>
          <w:b/>
          <w:b/>
          <w:bCs/>
          <w:sz w:val="24"/>
          <w:szCs w:val="24"/>
        </w:rPr>
      </w:pPr>
      <w:r>
        <w:rPr>
          <w:rFonts w:cs="Arial" w:ascii="Arial" w:hAnsi="Arial"/>
          <w:b/>
          <w:bCs/>
          <w:sz w:val="24"/>
          <w:szCs w:val="24"/>
        </w:rPr>
        <w:t xml:space="preserve">Expenditure exceeding £100 </w:t>
      </w:r>
    </w:p>
    <w:p>
      <w:pPr>
        <w:pStyle w:val="NoSpacing"/>
        <w:rPr>
          <w:rFonts w:ascii="Arial" w:hAnsi="Arial" w:cs="Arial"/>
          <w:b/>
          <w:b/>
          <w:bCs/>
          <w:color w:val="0070C0"/>
          <w:sz w:val="24"/>
          <w:szCs w:val="24"/>
        </w:rPr>
      </w:pPr>
      <w:r>
        <w:rPr>
          <w:rFonts w:cs="Arial" w:ascii="Arial" w:hAnsi="Arial"/>
          <w:sz w:val="24"/>
          <w:szCs w:val="24"/>
        </w:rPr>
        <w:t xml:space="preserve">Local authorities must publish details of each individual item of expenditure that exceeds £100. </w:t>
      </w:r>
      <w:r>
        <w:rPr>
          <w:rFonts w:cs="Arial" w:ascii="Arial" w:hAnsi="Arial"/>
          <w:color w:val="0070C0"/>
          <w:sz w:val="24"/>
          <w:szCs w:val="24"/>
        </w:rPr>
        <w:t xml:space="preserve">Not currently published. </w:t>
      </w:r>
      <w:r>
        <w:rPr>
          <w:rFonts w:cs="Arial" w:ascii="Arial" w:hAnsi="Arial"/>
          <w:b/>
          <w:bCs/>
          <w:color w:val="0070C0"/>
          <w:sz w:val="24"/>
          <w:szCs w:val="24"/>
        </w:rPr>
        <w:t>Recommend that the list of payments over £100 provided is uploaded onto the website.</w:t>
      </w:r>
      <w:r>
        <w:rPr>
          <w:rFonts w:cs="Arial" w:ascii="Arial" w:hAnsi="Arial"/>
          <w:color w:val="0070C0"/>
          <w:sz w:val="24"/>
          <w:szCs w:val="24"/>
        </w:rPr>
        <w:t xml:space="preserv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 xml:space="preserve">End of year accounts </w:t>
      </w:r>
    </w:p>
    <w:p>
      <w:pPr>
        <w:pStyle w:val="NoSpacing"/>
        <w:rPr>
          <w:rFonts w:ascii="Arial" w:hAnsi="Arial" w:cs="Arial"/>
          <w:sz w:val="24"/>
          <w:szCs w:val="24"/>
        </w:rPr>
      </w:pPr>
      <w:r>
        <w:rPr>
          <w:rFonts w:cs="Arial" w:ascii="Arial" w:hAnsi="Arial"/>
          <w:sz w:val="24"/>
          <w:szCs w:val="24"/>
        </w:rPr>
        <w:t xml:space="preserve">Annual publication no later than 1 July in the year immediately following the accounting year to which it relates. </w:t>
      </w:r>
      <w:r>
        <w:rPr>
          <w:rFonts w:cs="Arial" w:ascii="Arial" w:hAnsi="Arial"/>
          <w:color w:val="0070C0"/>
          <w:sz w:val="24"/>
          <w:szCs w:val="24"/>
        </w:rPr>
        <w:t>Published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 xml:space="preserve">Annual governance statement </w:t>
      </w:r>
    </w:p>
    <w:p>
      <w:pPr>
        <w:pStyle w:val="NoSpacing"/>
        <w:rPr>
          <w:rFonts w:ascii="Arial" w:hAnsi="Arial" w:cs="Arial"/>
          <w:sz w:val="24"/>
          <w:szCs w:val="24"/>
        </w:rPr>
      </w:pPr>
      <w:r>
        <w:rPr>
          <w:rFonts w:cs="Arial" w:ascii="Arial" w:hAnsi="Arial"/>
          <w:sz w:val="24"/>
          <w:szCs w:val="24"/>
        </w:rPr>
        <w:t xml:space="preserve">Annual publication no later than 1 July in the year immediately following the accounting year to which it relates. </w:t>
      </w:r>
      <w:r>
        <w:rPr>
          <w:rFonts w:cs="Arial" w:ascii="Arial" w:hAnsi="Arial"/>
          <w:color w:val="0070C0"/>
          <w:sz w:val="24"/>
          <w:szCs w:val="24"/>
        </w:rPr>
        <w:t>Published</w:t>
      </w:r>
    </w:p>
    <w:p>
      <w:pPr>
        <w:pStyle w:val="NoSpacing"/>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b/>
          <w:b/>
          <w:bCs/>
          <w:sz w:val="24"/>
          <w:szCs w:val="24"/>
        </w:rPr>
      </w:pPr>
      <w:r>
        <w:rPr>
          <w:rFonts w:cs="Arial" w:ascii="Arial" w:hAnsi="Arial"/>
          <w:b/>
          <w:bCs/>
          <w:sz w:val="24"/>
          <w:szCs w:val="24"/>
        </w:rPr>
        <w:t xml:space="preserve">Internal audit report </w:t>
      </w:r>
    </w:p>
    <w:p>
      <w:pPr>
        <w:pStyle w:val="NoSpacing"/>
        <w:rPr>
          <w:rFonts w:ascii="Arial" w:hAnsi="Arial" w:cs="Arial"/>
          <w:sz w:val="24"/>
          <w:szCs w:val="24"/>
        </w:rPr>
      </w:pPr>
      <w:r>
        <w:rPr>
          <w:rFonts w:cs="Arial" w:ascii="Arial" w:hAnsi="Arial"/>
          <w:sz w:val="24"/>
          <w:szCs w:val="24"/>
        </w:rPr>
        <w:t xml:space="preserve">Annual publication no later than 1 July in the year immediately following the accounting year to which it relates. </w:t>
      </w:r>
      <w:r>
        <w:rPr>
          <w:rFonts w:cs="Arial" w:ascii="Arial" w:hAnsi="Arial"/>
          <w:color w:val="0070C0"/>
          <w:sz w:val="24"/>
          <w:szCs w:val="24"/>
        </w:rPr>
        <w:t>Published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List of councillor or member responsibilities</w:t>
      </w:r>
    </w:p>
    <w:p>
      <w:pPr>
        <w:pStyle w:val="NoSpacing"/>
        <w:rPr>
          <w:rFonts w:ascii="Arial" w:hAnsi="Arial" w:cs="Arial"/>
          <w:b/>
          <w:b/>
          <w:bCs/>
          <w:sz w:val="24"/>
          <w:szCs w:val="24"/>
        </w:rPr>
      </w:pPr>
      <w:r>
        <w:rPr>
          <w:rFonts w:cs="Arial" w:ascii="Arial" w:hAnsi="Arial"/>
          <w:sz w:val="24"/>
          <w:szCs w:val="24"/>
        </w:rPr>
        <w:t xml:space="preserve">Annual publication of councillor or member responsibilities no later than 1 July in the year immediately following the accounting year to which it relates. </w:t>
      </w:r>
      <w:r>
        <w:rPr>
          <w:rFonts w:cs="Arial" w:ascii="Arial" w:hAnsi="Arial"/>
          <w:color w:val="0070C0"/>
          <w:sz w:val="24"/>
          <w:szCs w:val="24"/>
        </w:rPr>
        <w:t>Published.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Location of public land and building assets</w:t>
      </w:r>
    </w:p>
    <w:p>
      <w:pPr>
        <w:pStyle w:val="NoSpacing"/>
        <w:rPr>
          <w:rFonts w:ascii="Arial" w:hAnsi="Arial" w:cs="Arial"/>
          <w:sz w:val="24"/>
          <w:szCs w:val="24"/>
        </w:rPr>
      </w:pPr>
      <w:r>
        <w:rPr>
          <w:rFonts w:cs="Arial" w:ascii="Arial" w:hAnsi="Arial"/>
          <w:sz w:val="24"/>
          <w:szCs w:val="24"/>
        </w:rPr>
        <w:t xml:space="preserve">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 </w:t>
      </w:r>
      <w:r>
        <w:rPr>
          <w:rFonts w:cs="Arial" w:ascii="Arial" w:hAnsi="Arial"/>
          <w:color w:val="0070C0"/>
          <w:sz w:val="24"/>
          <w:szCs w:val="24"/>
        </w:rPr>
        <w:t xml:space="preserve">Published </w:t>
      </w:r>
      <w:hyperlink r:id="rId11">
        <w:r>
          <w:rPr>
            <w:rStyle w:val="InternetLink"/>
            <w:rFonts w:cs="Arial" w:ascii="Arial" w:hAnsi="Arial"/>
            <w:sz w:val="24"/>
            <w:szCs w:val="24"/>
          </w:rPr>
          <w:t>CM PC Public Land &amp; Building Assets - 2</w:t>
        </w:r>
      </w:hyperlink>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Minutes, agendas and papers of formal meetings</w:t>
      </w:r>
    </w:p>
    <w:p>
      <w:pPr>
        <w:pStyle w:val="NoSpacing"/>
        <w:rPr>
          <w:rFonts w:ascii="Arial" w:hAnsi="Arial" w:cs="Arial"/>
          <w:color w:val="0070C0"/>
          <w:sz w:val="24"/>
          <w:szCs w:val="24"/>
        </w:rPr>
      </w:pPr>
      <w:r>
        <w:rPr>
          <w:rFonts w:cs="Arial" w:ascii="Arial" w:hAnsi="Arial"/>
          <w:sz w:val="24"/>
          <w:szCs w:val="24"/>
        </w:rPr>
        <w:t xml:space="preserve">Publication of draft minutes from all formal meetings not later than one month after the meeting has taken place. Publication of meeting agendas and associated meeting papers not later than three clear days before the meeting to which they relate is taking place. </w:t>
      </w:r>
      <w:r>
        <w:rPr>
          <w:rFonts w:cs="Arial" w:ascii="Arial" w:hAnsi="Arial"/>
          <w:color w:val="0070C0"/>
          <w:sz w:val="24"/>
          <w:szCs w:val="24"/>
        </w:rPr>
        <w:t>Published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A review of the Finance page of the website has been undertaken. There are no financial documents published except for the year end basis financial information. </w:t>
      </w:r>
      <w:r>
        <w:rPr>
          <w:rFonts w:cs="Arial" w:ascii="Arial" w:hAnsi="Arial"/>
          <w:b/>
          <w:bCs/>
          <w:sz w:val="24"/>
          <w:szCs w:val="24"/>
        </w:rPr>
        <w:t>It is recommended that quarterly financial reports are published on the website as part of the meeting agenda supporting papers.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b/>
          <w:b/>
          <w:bCs/>
          <w:sz w:val="24"/>
          <w:szCs w:val="24"/>
        </w:rPr>
      </w:pPr>
      <w:r>
        <w:rPr>
          <w:rFonts w:cs="Arial" w:ascii="Arial" w:hAnsi="Arial"/>
          <w:b/>
          <w:bCs/>
          <w:sz w:val="24"/>
          <w:szCs w:val="24"/>
        </w:rPr>
        <w:t xml:space="preserve">M. In the year covered by this AGAR, the authority correctly provided for a period for the exercise of public rights as required by the Accounts and Audit Regulations </w:t>
      </w:r>
      <w:r>
        <w:rPr>
          <w:rFonts w:cs="Arial" w:ascii="Arial" w:hAnsi="Arial"/>
          <w:b/>
          <w:bCs/>
          <w:i/>
          <w:iCs/>
          <w:sz w:val="24"/>
          <w:szCs w:val="24"/>
        </w:rPr>
        <w:t>(during the 2025/26 AGAR period, were public rights in relation to the 2024-25 AGAR evidenced by a notice on the website and/or authority approved minutes confirming the dates set).</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The publication requirements were met. The Notice states 1</w:t>
      </w:r>
      <w:r>
        <w:rPr>
          <w:rFonts w:cs="Arial" w:ascii="Arial" w:hAnsi="Arial"/>
          <w:sz w:val="24"/>
          <w:szCs w:val="24"/>
          <w:vertAlign w:val="superscript"/>
        </w:rPr>
        <w:t>st</w:t>
      </w:r>
      <w:r>
        <w:rPr>
          <w:rFonts w:cs="Arial" w:ascii="Arial" w:hAnsi="Arial"/>
          <w:sz w:val="24"/>
          <w:szCs w:val="24"/>
        </w:rPr>
        <w:t xml:space="preserve"> July to 14</w:t>
      </w:r>
      <w:r>
        <w:rPr>
          <w:rFonts w:cs="Arial" w:ascii="Arial" w:hAnsi="Arial"/>
          <w:sz w:val="24"/>
          <w:szCs w:val="24"/>
          <w:vertAlign w:val="superscript"/>
        </w:rPr>
        <w:t>th</w:t>
      </w:r>
      <w:r>
        <w:rPr>
          <w:rFonts w:cs="Arial" w:ascii="Arial" w:hAnsi="Arial"/>
          <w:sz w:val="24"/>
          <w:szCs w:val="24"/>
        </w:rPr>
        <w:t xml:space="preserve"> August 2025. This meets the statutory 30 day requirement.</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Council formally minuted the Public Notice at its meeting held on 30</w:t>
      </w:r>
      <w:r>
        <w:rPr>
          <w:rFonts w:cs="Arial" w:ascii="Arial" w:hAnsi="Arial"/>
          <w:sz w:val="24"/>
          <w:szCs w:val="24"/>
          <w:vertAlign w:val="superscript"/>
        </w:rPr>
        <w:t>th</w:t>
      </w:r>
      <w:r>
        <w:rPr>
          <w:rFonts w:cs="Arial" w:ascii="Arial" w:hAnsi="Arial"/>
          <w:sz w:val="24"/>
          <w:szCs w:val="24"/>
        </w:rPr>
        <w:t xml:space="preserve"> June 2025. (minute 25/18.e)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N. The authority has complied with the publication requirements for 2024/25 AGAR.</w:t>
      </w:r>
    </w:p>
    <w:p>
      <w:pPr>
        <w:pStyle w:val="NoSpacing"/>
        <w:rPr>
          <w:rFonts w:ascii="Arial" w:hAnsi="Arial" w:cs="Arial"/>
          <w:sz w:val="24"/>
          <w:szCs w:val="24"/>
        </w:rPr>
      </w:pPr>
      <w:r>
        <w:rPr>
          <w:rFonts w:cs="Arial" w:ascii="Arial" w:hAnsi="Arial"/>
          <w:sz w:val="24"/>
          <w:szCs w:val="24"/>
        </w:rPr>
        <w:t>Publication Requirements Under the Accounts and Audit Regulations 2015, Authorities must publish the following information on the authority website/webpage: Before 1 July 2025 authorities must publish:</w:t>
      </w:r>
    </w:p>
    <w:p>
      <w:pPr>
        <w:pStyle w:val="NoSpacing"/>
        <w:numPr>
          <w:ilvl w:val="0"/>
          <w:numId w:val="6"/>
        </w:numPr>
        <w:ind w:left="426" w:hanging="426"/>
        <w:rPr>
          <w:rFonts w:ascii="Arial" w:hAnsi="Arial" w:cs="Arial"/>
          <w:sz w:val="24"/>
          <w:szCs w:val="24"/>
        </w:rPr>
      </w:pPr>
      <w:r>
        <w:rPr>
          <w:rFonts w:cs="Arial" w:ascii="Arial" w:hAnsi="Arial"/>
          <w:sz w:val="24"/>
          <w:szCs w:val="24"/>
        </w:rPr>
        <w:t xml:space="preserve">Notice of the period for the exercise of public rights and a declaration that the accounting statements are as yet unaudited: </w:t>
      </w:r>
      <w:r>
        <w:rPr>
          <w:rFonts w:cs="Arial" w:ascii="Arial" w:hAnsi="Arial"/>
          <w:color w:val="0070C0"/>
          <w:sz w:val="24"/>
          <w:szCs w:val="24"/>
        </w:rPr>
        <w:t>Published</w:t>
      </w:r>
    </w:p>
    <w:p>
      <w:pPr>
        <w:pStyle w:val="NoSpacing"/>
        <w:numPr>
          <w:ilvl w:val="0"/>
          <w:numId w:val="6"/>
        </w:numPr>
        <w:ind w:left="426" w:hanging="426"/>
        <w:rPr>
          <w:rFonts w:ascii="Arial" w:hAnsi="Arial" w:cs="Arial"/>
          <w:sz w:val="24"/>
          <w:szCs w:val="24"/>
        </w:rPr>
      </w:pPr>
      <w:r>
        <w:rPr>
          <w:rFonts w:cs="Arial" w:ascii="Arial" w:hAnsi="Arial"/>
          <w:sz w:val="24"/>
          <w:szCs w:val="24"/>
        </w:rPr>
        <w:t xml:space="preserve">Section 1 - Annual Governance Statement 2024/25, approved and signed, page 4: </w:t>
      </w:r>
      <w:r>
        <w:rPr>
          <w:rFonts w:cs="Arial" w:ascii="Arial" w:hAnsi="Arial"/>
          <w:color w:val="0070C0"/>
          <w:sz w:val="24"/>
          <w:szCs w:val="24"/>
        </w:rPr>
        <w:t>Published</w:t>
      </w:r>
    </w:p>
    <w:p>
      <w:pPr>
        <w:pStyle w:val="NoSpacing"/>
        <w:numPr>
          <w:ilvl w:val="0"/>
          <w:numId w:val="6"/>
        </w:numPr>
        <w:ind w:left="426" w:hanging="426"/>
        <w:rPr>
          <w:rFonts w:ascii="Arial" w:hAnsi="Arial" w:cs="Arial"/>
          <w:sz w:val="24"/>
          <w:szCs w:val="24"/>
        </w:rPr>
      </w:pPr>
      <w:r>
        <w:rPr>
          <w:rFonts w:cs="Arial" w:ascii="Arial" w:hAnsi="Arial"/>
          <w:sz w:val="24"/>
          <w:szCs w:val="24"/>
        </w:rPr>
        <w:t xml:space="preserve">Section 2 - Accounting Statements 2024/25, approved and signed, page 5: </w:t>
      </w:r>
      <w:r>
        <w:rPr>
          <w:rFonts w:cs="Arial" w:ascii="Arial" w:hAnsi="Arial"/>
          <w:color w:val="0070C0"/>
          <w:sz w:val="24"/>
          <w:szCs w:val="24"/>
        </w:rPr>
        <w:t>Published</w:t>
      </w:r>
    </w:p>
    <w:p>
      <w:pPr>
        <w:pStyle w:val="NoSpacing"/>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sz w:val="24"/>
          <w:szCs w:val="24"/>
        </w:rPr>
      </w:pPr>
      <w:r>
        <w:rPr>
          <w:rFonts w:cs="Arial" w:ascii="Arial" w:hAnsi="Arial"/>
          <w:sz w:val="24"/>
          <w:szCs w:val="24"/>
        </w:rPr>
        <w:t xml:space="preserve">It is recommended as best practice, to avoid any potential confusion by local electors and interested parties, that you also publish the Annual Internal Audit Report. </w:t>
      </w:r>
      <w:r>
        <w:rPr>
          <w:rFonts w:cs="Arial" w:ascii="Arial" w:hAnsi="Arial"/>
          <w:color w:val="0070C0"/>
          <w:sz w:val="24"/>
          <w:szCs w:val="24"/>
        </w:rPr>
        <w:t>Published.</w:t>
      </w:r>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b/>
          <w:b/>
          <w:bCs/>
          <w:sz w:val="24"/>
          <w:szCs w:val="24"/>
        </w:rPr>
      </w:pPr>
      <w:r>
        <w:rPr>
          <w:rFonts w:cs="Arial" w:ascii="Arial" w:hAnsi="Arial"/>
          <w:b/>
          <w:bCs/>
          <w:sz w:val="24"/>
          <w:szCs w:val="24"/>
        </w:rPr>
        <w:t>The Council has met this control objective.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O. The authority has complied with laws, regulations &amp; proper practices relating to digital and data compliance.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Council has a .org.uk email addresses for its Clerk/RFO and its Members. Council meets best practice advice by having a .org.uk domain for its email account and its website domain.</w:t>
      </w:r>
    </w:p>
    <w:p>
      <w:pPr>
        <w:pStyle w:val="NoSpacing"/>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sz w:val="24"/>
          <w:szCs w:val="24"/>
        </w:rPr>
      </w:pPr>
      <w:r>
        <w:rPr>
          <w:rFonts w:cs="Arial" w:ascii="Arial" w:hAnsi="Arial"/>
          <w:sz w:val="24"/>
          <w:szCs w:val="24"/>
        </w:rPr>
        <w:t xml:space="preserve">The Council has adopted an IT policy as required. </w:t>
      </w:r>
      <w:hyperlink r:id="rId12">
        <w:r>
          <w:rPr>
            <w:rStyle w:val="InternetLink"/>
            <w:rFonts w:cs="Arial" w:ascii="Arial" w:hAnsi="Arial"/>
            <w:sz w:val="24"/>
            <w:szCs w:val="24"/>
          </w:rPr>
          <w:t>CMPC-IT-Policy-Oct-2025.pdf</w:t>
        </w:r>
      </w:hyperlink>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The Council has an Accessibility Statement in place. </w:t>
      </w:r>
      <w:hyperlink r:id="rId13">
        <w:r>
          <w:rPr>
            <w:rStyle w:val="InternetLink"/>
            <w:rFonts w:cs="Arial" w:ascii="Arial" w:hAnsi="Arial"/>
            <w:sz w:val="24"/>
            <w:szCs w:val="24"/>
          </w:rPr>
          <w:t>CMPC-Accessibility-Statement-Jan-2026.pdf</w:t>
        </w:r>
      </w:hyperlink>
    </w:p>
    <w:p>
      <w:pPr>
        <w:pStyle w:val="NoSpacing"/>
        <w:rPr>
          <w:rFonts w:ascii="Arial" w:hAnsi="Arial" w:cs="Arial"/>
          <w:b/>
          <w:b/>
          <w:bCs/>
          <w:sz w:val="24"/>
          <w:szCs w:val="24"/>
        </w:rPr>
      </w:pPr>
      <w:r>
        <w:rPr>
          <w:rFonts w:cs="Arial" w:ascii="Arial" w:hAnsi="Arial"/>
          <w:b/>
          <w:bCs/>
          <w:sz w:val="24"/>
          <w:szCs w:val="24"/>
        </w:rPr>
      </w:r>
    </w:p>
    <w:p>
      <w:pPr>
        <w:pStyle w:val="NoSpacing"/>
        <w:rPr>
          <w:rFonts w:ascii="Arial" w:hAnsi="Arial" w:cs="Arial"/>
          <w:sz w:val="24"/>
          <w:szCs w:val="24"/>
        </w:rPr>
      </w:pPr>
      <w:r>
        <w:rPr>
          <w:rFonts w:cs="Arial" w:ascii="Arial" w:hAnsi="Arial"/>
          <w:b/>
          <w:bCs/>
          <w:sz w:val="24"/>
          <w:szCs w:val="24"/>
        </w:rPr>
        <w:t>Note</w:t>
      </w:r>
      <w:r>
        <w:rPr>
          <w:rFonts w:cs="Arial" w:ascii="Arial" w:hAnsi="Arial"/>
          <w:sz w:val="24"/>
          <w:szCs w:val="24"/>
        </w:rPr>
        <w:t xml:space="preserve"> that since September 2020, all parish and Parish councils must have a website that complies with Website Content Accessibility Guidelines (WCAG). As from October 2024 that rating level changed from WCAG2.1 AA to WCAG2.2AA so that it meets Accessibility Guidelines as set in the Public Sector Bodies Accessibility regulations.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 xml:space="preserve">It has been confirmed that Charlton Musgrove Parish Council website complies with WCAG 2.2 AA. It achieves 83%: </w:t>
      </w:r>
      <w:hyperlink r:id="rId14">
        <w:r>
          <w:rPr>
            <w:rStyle w:val="InternetLink"/>
            <w:rFonts w:cs="Arial" w:ascii="Arial" w:hAnsi="Arial"/>
            <w:sz w:val="24"/>
            <w:szCs w:val="24"/>
          </w:rPr>
          <w:t>Scan Results — CompliaScan</w:t>
        </w:r>
      </w:hyperlink>
      <w:r>
        <w:rPr>
          <w:rFonts w:cs="Arial" w:ascii="Arial" w:hAnsi="Arial"/>
          <w:sz w:val="24"/>
          <w:szCs w:val="24"/>
        </w:rPr>
        <w:t xml:space="preserv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Accessibility has been reviewed and the parish council section of the website scores 9.7 out of 10: </w:t>
      </w:r>
      <w:r>
        <w:fldChar w:fldCharType="begin"/>
      </w:r>
      <w:r>
        <w:rPr>
          <w:rStyle w:val="InternetLink"/>
          <w:sz w:val="24"/>
          <w:szCs w:val="24"/>
          <w:rFonts w:cs="Arial" w:ascii="Arial" w:hAnsi="Arial"/>
        </w:rPr>
        <w:instrText> HYPERLINK "https://wave.webaim.org/report" \l "/https://charltonmusgrovepc.org.uk/"</w:instrText>
      </w:r>
      <w:r>
        <w:rPr>
          <w:rStyle w:val="InternetLink"/>
          <w:sz w:val="24"/>
          <w:szCs w:val="24"/>
          <w:rFonts w:cs="Arial" w:ascii="Arial" w:hAnsi="Arial"/>
        </w:rPr>
        <w:fldChar w:fldCharType="separate"/>
      </w:r>
      <w:r>
        <w:rPr>
          <w:rStyle w:val="InternetLink"/>
          <w:rFonts w:cs="Arial" w:ascii="Arial" w:hAnsi="Arial"/>
          <w:sz w:val="24"/>
          <w:szCs w:val="24"/>
        </w:rPr>
        <w:t>WAVE Report of Charlton Musgrove Parish Council – Supporting our rural community</w:t>
      </w:r>
      <w:r>
        <w:rPr>
          <w:rStyle w:val="InternetLink"/>
          <w:sz w:val="24"/>
          <w:szCs w:val="24"/>
          <w:rFonts w:cs="Arial" w:ascii="Arial" w:hAnsi="Arial"/>
        </w:rPr>
        <w:fldChar w:fldCharType="end"/>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sz w:val="24"/>
          <w:szCs w:val="24"/>
        </w:rPr>
        <w:t>Data Protection requirements:</w:t>
      </w:r>
    </w:p>
    <w:p>
      <w:pPr>
        <w:pStyle w:val="NoSpacing"/>
        <w:numPr>
          <w:ilvl w:val="0"/>
          <w:numId w:val="8"/>
        </w:numPr>
        <w:ind w:left="426" w:hanging="426"/>
        <w:rPr>
          <w:rFonts w:ascii="Arial" w:hAnsi="Arial" w:cs="Arial"/>
          <w:sz w:val="24"/>
          <w:szCs w:val="24"/>
        </w:rPr>
      </w:pPr>
      <w:r>
        <w:rPr>
          <w:rFonts w:cs="Arial" w:ascii="Arial" w:hAnsi="Arial"/>
          <w:sz w:val="24"/>
          <w:szCs w:val="24"/>
        </w:rPr>
        <w:t>Data Protection Lead – Parish Clerk is Data Protection Lead</w:t>
      </w:r>
    </w:p>
    <w:p>
      <w:pPr>
        <w:pStyle w:val="NoSpacing"/>
        <w:numPr>
          <w:ilvl w:val="0"/>
          <w:numId w:val="8"/>
        </w:numPr>
        <w:ind w:left="426" w:hanging="426"/>
        <w:rPr>
          <w:rFonts w:ascii="Arial" w:hAnsi="Arial" w:cs="Arial"/>
          <w:sz w:val="24"/>
          <w:szCs w:val="24"/>
        </w:rPr>
      </w:pPr>
      <w:r>
        <w:rPr>
          <w:rFonts w:cs="Arial" w:ascii="Arial" w:hAnsi="Arial"/>
          <w:sz w:val="24"/>
          <w:szCs w:val="24"/>
        </w:rPr>
        <w:t xml:space="preserve">Data Audit: </w:t>
      </w:r>
      <w:r>
        <w:rPr>
          <w:rFonts w:cs="Arial" w:ascii="Arial" w:hAnsi="Arial"/>
          <w:b/>
          <w:bCs/>
          <w:sz w:val="24"/>
          <w:szCs w:val="24"/>
        </w:rPr>
        <w:t>The Council is required to undertake a data audit as soon as possible</w:t>
      </w:r>
    </w:p>
    <w:p>
      <w:pPr>
        <w:pStyle w:val="NoSpacing"/>
        <w:numPr>
          <w:ilvl w:val="0"/>
          <w:numId w:val="8"/>
        </w:numPr>
        <w:ind w:left="426" w:hanging="426"/>
        <w:rPr>
          <w:rFonts w:ascii="Arial" w:hAnsi="Arial" w:cs="Arial"/>
          <w:sz w:val="24"/>
          <w:szCs w:val="24"/>
        </w:rPr>
      </w:pPr>
      <w:r>
        <w:rPr>
          <w:rFonts w:cs="Arial" w:ascii="Arial" w:hAnsi="Arial"/>
          <w:sz w:val="24"/>
          <w:szCs w:val="24"/>
        </w:rPr>
        <w:t xml:space="preserve">Training for staff and Councillors: </w:t>
      </w:r>
      <w:r>
        <w:rPr>
          <w:rFonts w:cs="Arial" w:ascii="Arial" w:hAnsi="Arial"/>
          <w:b/>
          <w:bCs/>
          <w:sz w:val="24"/>
          <w:szCs w:val="24"/>
        </w:rPr>
        <w:t>Council needs to arrange data protection/assertion 10 training.</w:t>
      </w:r>
    </w:p>
    <w:p>
      <w:pPr>
        <w:pStyle w:val="NoSpacing"/>
        <w:numPr>
          <w:ilvl w:val="0"/>
          <w:numId w:val="8"/>
        </w:numPr>
        <w:ind w:left="426" w:hanging="426"/>
        <w:rPr>
          <w:rFonts w:ascii="Arial" w:hAnsi="Arial" w:cs="Arial"/>
          <w:sz w:val="24"/>
          <w:szCs w:val="24"/>
        </w:rPr>
      </w:pPr>
      <w:r>
        <w:rPr>
          <w:rFonts w:cs="Arial" w:ascii="Arial" w:hAnsi="Arial"/>
          <w:sz w:val="24"/>
          <w:szCs w:val="24"/>
        </w:rPr>
        <w:t xml:space="preserve">Data Protection Policy: </w:t>
      </w:r>
      <w:r>
        <w:rPr>
          <w:rFonts w:cs="Arial" w:ascii="Arial" w:hAnsi="Arial"/>
          <w:b/>
          <w:bCs/>
          <w:sz w:val="24"/>
          <w:szCs w:val="24"/>
        </w:rPr>
        <w:t>Council needs to adopt a policy.</w:t>
      </w:r>
    </w:p>
    <w:p>
      <w:pPr>
        <w:pStyle w:val="NoSpacing"/>
        <w:numPr>
          <w:ilvl w:val="0"/>
          <w:numId w:val="8"/>
        </w:numPr>
        <w:ind w:left="426" w:hanging="426"/>
        <w:rPr>
          <w:rFonts w:ascii="Arial" w:hAnsi="Arial" w:cs="Arial"/>
          <w:sz w:val="24"/>
          <w:szCs w:val="24"/>
        </w:rPr>
      </w:pPr>
      <w:r>
        <w:rPr>
          <w:rFonts w:cs="Arial" w:ascii="Arial" w:hAnsi="Arial"/>
          <w:sz w:val="24"/>
          <w:szCs w:val="24"/>
        </w:rPr>
        <w:t xml:space="preserve">Secure data to protect it from Data Breaches: </w:t>
      </w:r>
      <w:r>
        <w:rPr>
          <w:rFonts w:cs="Arial" w:ascii="Arial" w:hAnsi="Arial"/>
          <w:b/>
          <w:bCs/>
          <w:sz w:val="24"/>
          <w:szCs w:val="24"/>
        </w:rPr>
        <w:t>Council needs to adopt a policy.</w:t>
      </w:r>
    </w:p>
    <w:p>
      <w:pPr>
        <w:pStyle w:val="NoSpacing"/>
        <w:numPr>
          <w:ilvl w:val="0"/>
          <w:numId w:val="9"/>
        </w:numPr>
        <w:ind w:left="426" w:hanging="426"/>
        <w:rPr>
          <w:rFonts w:ascii="Arial" w:hAnsi="Arial" w:cs="Arial"/>
          <w:sz w:val="24"/>
          <w:szCs w:val="24"/>
        </w:rPr>
      </w:pPr>
      <w:r>
        <w:rPr>
          <w:rFonts w:cs="Arial" w:ascii="Arial" w:hAnsi="Arial"/>
          <w:sz w:val="24"/>
          <w:szCs w:val="24"/>
        </w:rPr>
        <w:t xml:space="preserve">Document Retention Policy: </w:t>
      </w:r>
      <w:r>
        <w:rPr>
          <w:rFonts w:cs="Arial" w:ascii="Arial" w:hAnsi="Arial"/>
          <w:b/>
          <w:bCs/>
          <w:sz w:val="24"/>
          <w:szCs w:val="24"/>
        </w:rPr>
        <w:t>Council needs to adopt a policy.</w:t>
      </w:r>
    </w:p>
    <w:p>
      <w:pPr>
        <w:pStyle w:val="NoSpacing"/>
        <w:numPr>
          <w:ilvl w:val="0"/>
          <w:numId w:val="9"/>
        </w:numPr>
        <w:ind w:left="426" w:hanging="426"/>
        <w:rPr>
          <w:rFonts w:ascii="Arial" w:hAnsi="Arial" w:cs="Arial"/>
          <w:sz w:val="24"/>
          <w:szCs w:val="24"/>
        </w:rPr>
      </w:pPr>
      <w:r>
        <w:rPr>
          <w:rFonts w:cs="Arial" w:ascii="Arial" w:hAnsi="Arial"/>
          <w:sz w:val="24"/>
          <w:szCs w:val="24"/>
        </w:rPr>
        <w:t xml:space="preserve">FOI Publication scheme: </w:t>
      </w:r>
      <w:r>
        <w:rPr>
          <w:rFonts w:cs="Arial" w:ascii="Arial" w:hAnsi="Arial"/>
          <w:b/>
          <w:bCs/>
          <w:sz w:val="24"/>
          <w:szCs w:val="24"/>
        </w:rPr>
        <w:t>Council needs to adopt a policy.</w:t>
      </w:r>
    </w:p>
    <w:p>
      <w:pPr>
        <w:pStyle w:val="NoSpacing"/>
        <w:numPr>
          <w:ilvl w:val="0"/>
          <w:numId w:val="9"/>
        </w:numPr>
        <w:ind w:left="426" w:hanging="426"/>
        <w:rPr>
          <w:rFonts w:ascii="Arial" w:hAnsi="Arial" w:cs="Arial"/>
          <w:sz w:val="24"/>
          <w:szCs w:val="24"/>
        </w:rPr>
      </w:pPr>
      <w:r>
        <w:rPr>
          <w:rFonts w:cs="Arial" w:ascii="Arial" w:hAnsi="Arial"/>
          <w:sz w:val="24"/>
          <w:szCs w:val="24"/>
        </w:rPr>
        <w:t xml:space="preserve">Data Breach and Subject Access Request policies and procedures: </w:t>
      </w:r>
      <w:r>
        <w:rPr>
          <w:rFonts w:cs="Arial" w:ascii="Arial" w:hAnsi="Arial"/>
          <w:b/>
          <w:bCs/>
          <w:sz w:val="24"/>
          <w:szCs w:val="24"/>
        </w:rPr>
        <w:t>Council needs to adopt a policy.</w:t>
      </w:r>
    </w:p>
    <w:p>
      <w:pPr>
        <w:pStyle w:val="NoSpacing"/>
        <w:ind w:left="426" w:hanging="0"/>
        <w:rPr>
          <w:rFonts w:ascii="Arial" w:hAnsi="Arial" w:cs="Arial"/>
          <w:sz w:val="24"/>
          <w:szCs w:val="24"/>
          <w:highlight w:val="yellow"/>
        </w:rPr>
      </w:pPr>
      <w:r>
        <w:rPr>
          <w:rFonts w:cs="Arial" w:ascii="Arial" w:hAnsi="Arial"/>
          <w:sz w:val="24"/>
          <w:szCs w:val="24"/>
          <w:highlight w:val="yellow"/>
        </w:rPr>
      </w:r>
    </w:p>
    <w:p>
      <w:pPr>
        <w:pStyle w:val="NoSpacing"/>
        <w:rPr>
          <w:rFonts w:ascii="Arial" w:hAnsi="Arial" w:cs="Arial"/>
          <w:b/>
          <w:b/>
          <w:bCs/>
          <w:sz w:val="24"/>
          <w:szCs w:val="24"/>
        </w:rPr>
      </w:pPr>
      <w:r>
        <w:rPr>
          <w:rFonts w:cs="Arial" w:ascii="Arial" w:hAnsi="Arial"/>
          <w:b/>
          <w:bCs/>
          <w:sz w:val="24"/>
          <w:szCs w:val="24"/>
        </w:rPr>
        <w:t>Council should ensure that the following requirements are also met:</w:t>
      </w:r>
    </w:p>
    <w:p>
      <w:pPr>
        <w:pStyle w:val="NoSpacing"/>
        <w:numPr>
          <w:ilvl w:val="0"/>
          <w:numId w:val="5"/>
        </w:numPr>
        <w:ind w:left="426" w:hanging="426"/>
        <w:rPr>
          <w:rFonts w:ascii="Arial" w:hAnsi="Arial" w:cs="Arial"/>
          <w:sz w:val="24"/>
          <w:szCs w:val="24"/>
        </w:rPr>
      </w:pPr>
      <w:r>
        <w:rPr>
          <w:rFonts w:cs="Arial" w:ascii="Arial" w:hAnsi="Arial"/>
          <w:sz w:val="24"/>
          <w:szCs w:val="24"/>
        </w:rPr>
        <w:t>Ensure that both hard copy and electronic data have relevant protections in place. For hard copy records this will be identified by the audit. For electronic data it is recommended that your IT provider outlines what protections are in place, how often data is backed up and how it is stored. Ensure that all computers have some level of virus protection.</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 Freedom of Information Policy has not been adopted.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There is no privacy notice in place. </w:t>
      </w:r>
      <w:r>
        <w:rPr>
          <w:rFonts w:cs="Arial" w:ascii="Arial" w:hAnsi="Arial"/>
          <w:b/>
          <w:bCs/>
          <w:sz w:val="24"/>
          <w:szCs w:val="24"/>
        </w:rPr>
        <w:t>Council needs to adopt a privacy notice,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The Council does not meet this control objective as there are a number of policies and actions that need to be addressed.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bCs/>
          <w:sz w:val="24"/>
          <w:szCs w:val="24"/>
        </w:rPr>
      </w:pPr>
      <w:r>
        <w:rPr>
          <w:rFonts w:cs="Arial" w:ascii="Arial" w:hAnsi="Arial"/>
          <w:b/>
          <w:bCs/>
          <w:sz w:val="24"/>
          <w:szCs w:val="24"/>
        </w:rPr>
        <w:t>P. (For local councils only) Trust funds (including charitable) – The council met its responsibilities as a trustee.</w:t>
      </w:r>
    </w:p>
    <w:p>
      <w:pPr>
        <w:pStyle w:val="NoSpacing"/>
        <w:rPr>
          <w:rFonts w:ascii="Arial" w:hAnsi="Arial" w:cs="Arial"/>
          <w:b/>
          <w:b/>
          <w:bCs/>
          <w:sz w:val="24"/>
          <w:szCs w:val="24"/>
        </w:rPr>
      </w:pPr>
      <w:r>
        <w:rPr>
          <w:rFonts w:cs="Arial" w:ascii="Arial" w:hAnsi="Arial"/>
          <w:sz w:val="24"/>
          <w:szCs w:val="24"/>
        </w:rPr>
        <w:t>The Council is not a sole trustee.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
    </w:p>
    <w:sectPr>
      <w:headerReference w:type="default" r:id="rId15"/>
      <w:footerReference w:type="default" r:id="rId16"/>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56815581"/>
    </w:sdtPr>
    <w:sdtContent>
      <w:p>
        <w:pPr>
          <w:pStyle w:val="Footer"/>
          <w:pBdr>
            <w:top w:val="single" w:sz="4" w:space="1" w:color="D9D9D9"/>
          </w:pBdr>
          <w:jc w:val="right"/>
          <w:rPr>
            <w:rFonts w:ascii="Arial" w:hAnsi="Arial" w:cs="Arial"/>
            <w:sz w:val="24"/>
            <w:szCs w:val="24"/>
          </w:rPr>
        </w:pPr>
        <w:r>
          <w:rPr>
            <w:rFonts w:cs="Arial" w:ascii="Arial" w:hAnsi="Arial"/>
            <w:sz w:val="24"/>
            <w:szCs w:val="24"/>
          </w:rPr>
          <w:fldChar w:fldCharType="begin"/>
        </w:r>
        <w:r>
          <w:rPr>
            <w:sz w:val="24"/>
            <w:szCs w:val="24"/>
            <w:rFonts w:cs="Arial" w:ascii="Arial" w:hAnsi="Arial"/>
          </w:rPr>
          <w:instrText> PAGE </w:instrText>
        </w:r>
        <w:r>
          <w:rPr>
            <w:sz w:val="24"/>
            <w:szCs w:val="24"/>
            <w:rFonts w:cs="Arial" w:ascii="Arial" w:hAnsi="Arial"/>
          </w:rPr>
          <w:fldChar w:fldCharType="separate"/>
        </w:r>
        <w:r>
          <w:rPr>
            <w:sz w:val="24"/>
            <w:szCs w:val="24"/>
            <w:rFonts w:cs="Arial" w:ascii="Arial" w:hAnsi="Arial"/>
          </w:rPr>
          <w:t>1</w:t>
        </w:r>
        <w:r>
          <w:rPr>
            <w:sz w:val="24"/>
            <w:szCs w:val="24"/>
            <w:rFonts w:cs="Arial" w:ascii="Arial" w:hAnsi="Arial"/>
          </w:rPr>
          <w:fldChar w:fldCharType="end"/>
        </w:r>
        <w:r>
          <w:rPr>
            <w:rFonts w:cs="Arial" w:ascii="Arial" w:hAnsi="Arial"/>
            <w:sz w:val="24"/>
            <w:szCs w:val="24"/>
          </w:rPr>
          <w:t xml:space="preserve"> </w:t>
        </w:r>
        <w:r>
          <w:rPr>
            <w:rFonts w:cs="Arial" w:ascii="Arial" w:hAnsi="Arial"/>
            <w:sz w:val="24"/>
            <w:szCs w:val="24"/>
          </w:rPr>
          <w:t xml:space="preserve">| </w:t>
        </w:r>
        <w:r>
          <w:rPr>
            <w:rFonts w:cs="Arial" w:ascii="Arial" w:hAnsi="Arial"/>
            <w:color w:val="7F7F7F" w:themeColor="background1" w:themeShade="7f"/>
            <w:spacing w:val="60"/>
            <w:sz w:val="24"/>
            <w:szCs w:val="24"/>
          </w:rPr>
          <w:t>Page</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280953"/>
    </w:sdtPr>
    <w:sdtContent>
      <w:p>
        <w:pPr>
          <w:pStyle w:val="Footer"/>
          <w:pBdr>
            <w:top w:val="single" w:sz="4" w:space="1" w:color="D9D9D9"/>
          </w:pBdr>
          <w:jc w:val="right"/>
          <w:rPr>
            <w:rFonts w:ascii="Arial" w:hAnsi="Arial" w:cs="Arial"/>
            <w:sz w:val="24"/>
            <w:szCs w:val="24"/>
          </w:rPr>
        </w:pPr>
        <w:r>
          <w:rPr>
            <w:rFonts w:cs="Arial" w:ascii="Arial" w:hAnsi="Arial"/>
            <w:sz w:val="24"/>
            <w:szCs w:val="24"/>
          </w:rPr>
          <w:fldChar w:fldCharType="begin"/>
        </w:r>
        <w:r>
          <w:rPr>
            <w:sz w:val="24"/>
            <w:szCs w:val="24"/>
            <w:rFonts w:cs="Arial" w:ascii="Arial" w:hAnsi="Arial"/>
          </w:rPr>
          <w:instrText> PAGE </w:instrText>
        </w:r>
        <w:r>
          <w:rPr>
            <w:sz w:val="24"/>
            <w:szCs w:val="24"/>
            <w:rFonts w:cs="Arial" w:ascii="Arial" w:hAnsi="Arial"/>
          </w:rPr>
          <w:fldChar w:fldCharType="separate"/>
        </w:r>
        <w:r>
          <w:rPr>
            <w:sz w:val="24"/>
            <w:szCs w:val="24"/>
            <w:rFonts w:cs="Arial" w:ascii="Arial" w:hAnsi="Arial"/>
          </w:rPr>
          <w:t>2</w:t>
        </w:r>
        <w:r>
          <w:rPr>
            <w:sz w:val="24"/>
            <w:szCs w:val="24"/>
            <w:rFonts w:cs="Arial" w:ascii="Arial" w:hAnsi="Arial"/>
          </w:rPr>
          <w:fldChar w:fldCharType="end"/>
        </w:r>
        <w:r>
          <w:rPr>
            <w:rFonts w:cs="Arial" w:ascii="Arial" w:hAnsi="Arial"/>
            <w:sz w:val="24"/>
            <w:szCs w:val="24"/>
          </w:rPr>
          <w:t xml:space="preserve"> </w:t>
        </w:r>
        <w:r>
          <w:rPr>
            <w:rFonts w:cs="Arial" w:ascii="Arial" w:hAnsi="Arial"/>
            <w:sz w:val="24"/>
            <w:szCs w:val="24"/>
          </w:rPr>
          <w:t xml:space="preserve">| </w:t>
        </w:r>
        <w:r>
          <w:rPr>
            <w:rFonts w:cs="Arial" w:ascii="Arial" w:hAnsi="Arial"/>
            <w:color w:val="7F7F7F" w:themeColor="background1" w:themeShade="7f"/>
            <w:spacing w:val="60"/>
            <w:sz w:val="24"/>
            <w:szCs w:val="24"/>
          </w:rPr>
          <w:t>Page</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664216"/>
    </w:sdtPr>
    <w:sdtContent>
      <w:p>
        <w:pPr>
          <w:pStyle w:val="Footer"/>
          <w:pBdr>
            <w:top w:val="single" w:sz="4" w:space="1" w:color="D9D9D9"/>
          </w:pBdr>
          <w:jc w:val="right"/>
          <w:rPr>
            <w:rFonts w:ascii="Arial" w:hAnsi="Arial" w:cs="Arial"/>
            <w:sz w:val="24"/>
            <w:szCs w:val="24"/>
          </w:rPr>
        </w:pPr>
        <w:r>
          <w:rPr>
            <w:rFonts w:cs="Arial" w:ascii="Arial" w:hAnsi="Arial"/>
            <w:sz w:val="24"/>
            <w:szCs w:val="24"/>
          </w:rPr>
          <w:fldChar w:fldCharType="begin"/>
        </w:r>
        <w:r>
          <w:rPr>
            <w:sz w:val="24"/>
            <w:szCs w:val="24"/>
            <w:rFonts w:cs="Arial" w:ascii="Arial" w:hAnsi="Arial"/>
          </w:rPr>
          <w:instrText> PAGE </w:instrText>
        </w:r>
        <w:r>
          <w:rPr>
            <w:sz w:val="24"/>
            <w:szCs w:val="24"/>
            <w:rFonts w:cs="Arial" w:ascii="Arial" w:hAnsi="Arial"/>
          </w:rPr>
          <w:fldChar w:fldCharType="separate"/>
        </w:r>
        <w:r>
          <w:rPr>
            <w:sz w:val="24"/>
            <w:szCs w:val="24"/>
            <w:rFonts w:cs="Arial" w:ascii="Arial" w:hAnsi="Arial"/>
          </w:rPr>
          <w:t>10</w:t>
        </w:r>
        <w:r>
          <w:rPr>
            <w:sz w:val="24"/>
            <w:szCs w:val="24"/>
            <w:rFonts w:cs="Arial" w:ascii="Arial" w:hAnsi="Arial"/>
          </w:rPr>
          <w:fldChar w:fldCharType="end"/>
        </w:r>
        <w:r>
          <w:rPr>
            <w:rFonts w:cs="Arial" w:ascii="Arial" w:hAnsi="Arial"/>
            <w:sz w:val="24"/>
            <w:szCs w:val="24"/>
          </w:rPr>
          <w:t xml:space="preserve"> </w:t>
        </w:r>
        <w:r>
          <w:rPr>
            <w:rFonts w:cs="Arial" w:ascii="Arial" w:hAnsi="Arial"/>
            <w:sz w:val="24"/>
            <w:szCs w:val="24"/>
          </w:rPr>
          <w:t xml:space="preserve">| </w:t>
        </w:r>
        <w:r>
          <w:rPr>
            <w:rFonts w:cs="Arial" w:ascii="Arial" w:hAnsi="Arial"/>
            <w:color w:val="7F7F7F" w:themeColor="background1" w:themeShade="7f"/>
            <w:spacing w:val="60"/>
            <w:sz w:val="24"/>
            <w:szCs w:val="24"/>
          </w:rPr>
          <w:t>Page</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align>center</wp:align>
          </wp:positionH>
          <wp:positionV relativeFrom="paragraph">
            <wp:posOffset>-305435</wp:posOffset>
          </wp:positionV>
          <wp:extent cx="7317105" cy="908050"/>
          <wp:effectExtent l="0" t="0" r="0" b="0"/>
          <wp:wrapTopAndBottom/>
          <wp:docPr id="2"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red sign with white text&#10;&#10;Description automatically generated"/>
                  <pic:cNvPicPr>
                    <a:picLocks noChangeAspect="1" noChangeArrowheads="1"/>
                  </pic:cNvPicPr>
                </pic:nvPicPr>
                <pic:blipFill>
                  <a:blip r:embed="rId1"/>
                  <a:stretch>
                    <a:fillRect/>
                  </a:stretch>
                </pic:blipFill>
                <pic:spPr bwMode="auto">
                  <a:xfrm>
                    <a:off x="0" y="0"/>
                    <a:ext cx="7317105" cy="9080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92" w:hanging="360"/>
      </w:pPr>
      <w:rPr>
        <w:rFonts w:ascii="Symbol" w:hAnsi="Symbol" w:cs="Symbol" w:hint="default"/>
      </w:rPr>
    </w:lvl>
    <w:lvl w:ilvl="1">
      <w:start w:val="1"/>
      <w:numFmt w:val="bullet"/>
      <w:lvlText w:val="o"/>
      <w:lvlJc w:val="left"/>
      <w:pPr>
        <w:ind w:left="1512" w:hanging="360"/>
      </w:pPr>
      <w:rPr>
        <w:rFonts w:ascii="Courier New" w:hAnsi="Courier New" w:cs="Courier New" w:hint="default"/>
        <w:rFonts w:cs="Courier New"/>
      </w:rPr>
    </w:lvl>
    <w:lvl w:ilvl="2">
      <w:start w:val="1"/>
      <w:numFmt w:val="bullet"/>
      <w:lvlText w:val=""/>
      <w:lvlJc w:val="left"/>
      <w:pPr>
        <w:ind w:left="2232" w:hanging="360"/>
      </w:pPr>
      <w:rPr>
        <w:rFonts w:ascii="Wingdings" w:hAnsi="Wingdings" w:cs="Wingdings" w:hint="default"/>
      </w:rPr>
    </w:lvl>
    <w:lvl w:ilvl="3">
      <w:start w:val="1"/>
      <w:numFmt w:val="bullet"/>
      <w:lvlText w:val=""/>
      <w:lvlJc w:val="left"/>
      <w:pPr>
        <w:ind w:left="2952" w:hanging="360"/>
      </w:pPr>
      <w:rPr>
        <w:rFonts w:ascii="Symbol" w:hAnsi="Symbol" w:cs="Symbol" w:hint="default"/>
      </w:rPr>
    </w:lvl>
    <w:lvl w:ilvl="4">
      <w:start w:val="1"/>
      <w:numFmt w:val="bullet"/>
      <w:lvlText w:val="o"/>
      <w:lvlJc w:val="left"/>
      <w:pPr>
        <w:ind w:left="3672" w:hanging="360"/>
      </w:pPr>
      <w:rPr>
        <w:rFonts w:ascii="Courier New" w:hAnsi="Courier New" w:cs="Courier New" w:hint="default"/>
        <w:rFonts w:cs="Courier New"/>
      </w:rPr>
    </w:lvl>
    <w:lvl w:ilvl="5">
      <w:start w:val="1"/>
      <w:numFmt w:val="bullet"/>
      <w:lvlText w:val=""/>
      <w:lvlJc w:val="left"/>
      <w:pPr>
        <w:ind w:left="4392" w:hanging="360"/>
      </w:pPr>
      <w:rPr>
        <w:rFonts w:ascii="Wingdings" w:hAnsi="Wingdings" w:cs="Wingdings" w:hint="default"/>
      </w:rPr>
    </w:lvl>
    <w:lvl w:ilvl="6">
      <w:start w:val="1"/>
      <w:numFmt w:val="bullet"/>
      <w:lvlText w:val=""/>
      <w:lvlJc w:val="left"/>
      <w:pPr>
        <w:ind w:left="5112" w:hanging="360"/>
      </w:pPr>
      <w:rPr>
        <w:rFonts w:ascii="Symbol" w:hAnsi="Symbol" w:cs="Symbol" w:hint="default"/>
      </w:rPr>
    </w:lvl>
    <w:lvl w:ilvl="7">
      <w:start w:val="1"/>
      <w:numFmt w:val="bullet"/>
      <w:lvlText w:val="o"/>
      <w:lvlJc w:val="left"/>
      <w:pPr>
        <w:ind w:left="5832" w:hanging="360"/>
      </w:pPr>
      <w:rPr>
        <w:rFonts w:ascii="Courier New" w:hAnsi="Courier New" w:cs="Courier New" w:hint="default"/>
        <w:rFonts w:cs="Courier New"/>
      </w:rPr>
    </w:lvl>
    <w:lvl w:ilvl="8">
      <w:start w:val="1"/>
      <w:numFmt w:val="bullet"/>
      <w:lvlText w:val=""/>
      <w:lvlJc w:val="left"/>
      <w:pPr>
        <w:ind w:left="6552"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9fa"/>
    <w:pPr>
      <w:widowControl/>
      <w:bidi w:val="0"/>
      <w:spacing w:lineRule="auto" w:line="240" w:before="0" w:after="0"/>
      <w:jc w:val="left"/>
    </w:pPr>
    <w:rPr>
      <w:rFonts w:ascii="Times New Roman" w:hAnsi="Times New Roman" w:eastAsia="Times New Roman" w:cs="Times New Roman"/>
      <w:color w:val="auto"/>
      <w:kern w:val="0"/>
      <w:sz w:val="24"/>
      <w:szCs w:val="24"/>
      <w:lang w:eastAsia="en-GB" w:val="en-GB" w:bidi="ar-SA"/>
      <w14:ligatures w14:val="none"/>
    </w:rPr>
  </w:style>
  <w:style w:type="paragraph" w:styleId="Heading1">
    <w:name w:val="Heading 1"/>
    <w:basedOn w:val="Normal"/>
    <w:next w:val="Normal"/>
    <w:link w:val="Heading1Char"/>
    <w:uiPriority w:val="9"/>
    <w:qFormat/>
    <w:rsid w:val="006a1314"/>
    <w:pPr>
      <w:keepNext w:val="true"/>
      <w:keepLines/>
      <w:spacing w:lineRule="auto" w:line="259" w:before="360" w:after="80"/>
      <w:outlineLvl w:val="0"/>
    </w:pPr>
    <w:rPr>
      <w:rFonts w:ascii="Calibri Light" w:hAnsi="Calibri Light" w:eastAsia="" w:cs="" w:asciiTheme="majorHAnsi" w:cstheme="majorBidi" w:eastAsiaTheme="majorEastAsia" w:hAnsiTheme="majorHAns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val="true"/>
      <w:keepLines/>
      <w:spacing w:lineRule="auto" w:line="259" w:before="160" w:after="80"/>
      <w:outlineLvl w:val="1"/>
    </w:pPr>
    <w:rPr>
      <w:rFonts w:ascii="Calibri Light" w:hAnsi="Calibri Light" w:eastAsia="" w:cs="" w:asciiTheme="majorHAnsi" w:cstheme="majorBidi" w:eastAsiaTheme="majorEastAsia" w:hAnsiTheme="majorHAns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val="true"/>
      <w:keepLines/>
      <w:spacing w:lineRule="auto" w:line="259" w:before="160" w:after="80"/>
      <w:outlineLvl w:val="2"/>
    </w:pPr>
    <w:rPr>
      <w:rFonts w:ascii="Calibri" w:hAnsi="Calibri" w:eastAsia="" w:cs="" w:asciiTheme="minorHAnsi" w:cstheme="majorBidi" w:eastAsiaTheme="majorEastAsia" w:hAnsiTheme="minorHAns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val="true"/>
      <w:keepLines/>
      <w:spacing w:lineRule="auto" w:line="259" w:before="80" w:after="40"/>
      <w:outlineLvl w:val="3"/>
    </w:pPr>
    <w:rPr>
      <w:rFonts w:ascii="Calibri" w:hAnsi="Calibri" w:eastAsia="" w:cs="" w:asciiTheme="minorHAnsi" w:cstheme="majorBidi" w:eastAsiaTheme="majorEastAsia" w:hAnsiTheme="minorHAns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val="true"/>
      <w:keepLines/>
      <w:spacing w:lineRule="auto" w:line="259" w:before="80" w:after="40"/>
      <w:outlineLvl w:val="4"/>
    </w:pPr>
    <w:rPr>
      <w:rFonts w:ascii="Calibri" w:hAnsi="Calibri" w:eastAsia="" w:cs="" w:asciiTheme="minorHAnsi" w:cstheme="majorBidi" w:eastAsiaTheme="majorEastAsia" w:hAnsiTheme="minorHAns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val="true"/>
      <w:keepLines/>
      <w:spacing w:lineRule="auto" w:line="259" w:before="40" w:after="0"/>
      <w:outlineLvl w:val="5"/>
    </w:pPr>
    <w:rPr>
      <w:rFonts w:ascii="Calibri" w:hAnsi="Calibri" w:eastAsia="" w:cs="" w:asciiTheme="minorHAnsi" w:cstheme="majorBidi" w:eastAsiaTheme="majorEastAsia" w:hAnsiTheme="minorHAns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val="true"/>
      <w:keepLines/>
      <w:spacing w:lineRule="auto" w:line="259" w:before="40" w:after="0"/>
      <w:outlineLvl w:val="6"/>
    </w:pPr>
    <w:rPr>
      <w:rFonts w:ascii="Calibri" w:hAnsi="Calibri" w:eastAsia="" w:cs="" w:asciiTheme="minorHAnsi" w:cstheme="majorBidi" w:eastAsiaTheme="majorEastAsia" w:hAnsiTheme="minorHAns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val="true"/>
      <w:keepLines/>
      <w:spacing w:lineRule="auto" w:line="259"/>
      <w:outlineLvl w:val="7"/>
    </w:pPr>
    <w:rPr>
      <w:rFonts w:ascii="Calibri" w:hAnsi="Calibri" w:eastAsia="" w:cs="" w:asciiTheme="minorHAnsi" w:cstheme="majorBidi" w:eastAsiaTheme="majorEastAsia" w:hAnsiTheme="minorHAns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val="true"/>
      <w:keepLines/>
      <w:spacing w:lineRule="auto" w:line="259"/>
      <w:outlineLvl w:val="8"/>
    </w:pPr>
    <w:rPr>
      <w:rFonts w:ascii="Calibri" w:hAnsi="Calibri" w:eastAsia="" w:cs="" w:asciiTheme="minorHAnsi" w:cstheme="majorBidi" w:eastAsiaTheme="majorEastAsia" w:hAnsiTheme="minorHAnsi"/>
      <w:color w:val="272727" w:themeColor="text1" w:themeTint="d8"/>
      <w:kern w:val="2"/>
      <w:sz w:val="22"/>
      <w:szCs w:val="22"/>
      <w:lang w:eastAsia="en-US"/>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a1314"/>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qFormat/>
    <w:rsid w:val="006a1314"/>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6a1314"/>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6a1314"/>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6a1314"/>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6a131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6a131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6a131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6a131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6a131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a131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6a1314"/>
    <w:rPr>
      <w:i/>
      <w:iCs/>
      <w:color w:val="404040" w:themeColor="text1" w:themeTint="bf"/>
    </w:rPr>
  </w:style>
  <w:style w:type="character" w:styleId="IntenseEmphasis">
    <w:name w:val="Intense Emphasis"/>
    <w:basedOn w:val="DefaultParagraphFont"/>
    <w:uiPriority w:val="21"/>
    <w:qFormat/>
    <w:rsid w:val="006a1314"/>
    <w:rPr>
      <w:i/>
      <w:iCs/>
      <w:color w:val="2F5496" w:themeColor="accent1" w:themeShade="bf"/>
    </w:rPr>
  </w:style>
  <w:style w:type="character" w:styleId="IntenseQuoteChar" w:customStyle="1">
    <w:name w:val="Intense Quote Char"/>
    <w:basedOn w:val="DefaultParagraphFont"/>
    <w:link w:val="IntenseQuote"/>
    <w:uiPriority w:val="30"/>
    <w:qFormat/>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character" w:styleId="HeaderChar" w:customStyle="1">
    <w:name w:val="Header Char"/>
    <w:basedOn w:val="DefaultParagraphFont"/>
    <w:link w:val="Header"/>
    <w:uiPriority w:val="99"/>
    <w:qFormat/>
    <w:rsid w:val="006a1314"/>
    <w:rPr/>
  </w:style>
  <w:style w:type="character" w:styleId="FooterChar" w:customStyle="1">
    <w:name w:val="Footer Char"/>
    <w:basedOn w:val="DefaultParagraphFont"/>
    <w:link w:val="Footer"/>
    <w:uiPriority w:val="99"/>
    <w:qFormat/>
    <w:rsid w:val="006a1314"/>
    <w:rPr/>
  </w:style>
  <w:style w:type="character" w:styleId="Internet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qFormat/>
    <w:rsid w:val="0042688c"/>
    <w:rPr>
      <w:color w:val="605E5C"/>
      <w:shd w:fill="E1DFDD" w:val="clear"/>
    </w:rPr>
  </w:style>
  <w:style w:type="character" w:styleId="VisitedInternetLink">
    <w:name w:val="FollowedHyperlink"/>
    <w:basedOn w:val="DefaultParagraphFont"/>
    <w:uiPriority w:val="99"/>
    <w:semiHidden/>
    <w:unhideWhenUsed/>
    <w:rsid w:val="00eb426b"/>
    <w:rPr>
      <w:color w:val="954F72" w:themeColor="followedHyperlink"/>
      <w:u w:val="single"/>
    </w:rPr>
  </w:style>
  <w:style w:type="character" w:styleId="Strong">
    <w:name w:val="Strong"/>
    <w:basedOn w:val="DefaultParagraphFont"/>
    <w:uiPriority w:val="22"/>
    <w:qFormat/>
    <w:rsid w:val="006159fa"/>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a1314"/>
    <w:pPr>
      <w:spacing w:before="0" w:after="80"/>
      <w:contextualSpacing/>
    </w:pPr>
    <w:rPr>
      <w:rFonts w:ascii="Calibri Light" w:hAnsi="Calibri Light" w:eastAsia="" w:cs="" w:asciiTheme="majorHAnsi" w:cstheme="majorBidi" w:eastAsiaTheme="majorEastAsia" w:hAnsiTheme="majorHAnsi"/>
      <w:spacing w:val="-10"/>
      <w:sz w:val="56"/>
      <w:szCs w:val="56"/>
      <w:lang w:eastAsia="en-US"/>
      <w14:ligatures w14:val="standardContextual"/>
    </w:rPr>
  </w:style>
  <w:style w:type="paragraph" w:styleId="Subtitle">
    <w:name w:val="Subtitle"/>
    <w:basedOn w:val="Normal"/>
    <w:next w:val="Normal"/>
    <w:link w:val="SubtitleChar"/>
    <w:uiPriority w:val="11"/>
    <w:qFormat/>
    <w:rsid w:val="006a1314"/>
    <w:pPr>
      <w:spacing w:lineRule="auto" w:line="259" w:before="0" w:after="160"/>
    </w:pPr>
    <w:rPr>
      <w:rFonts w:ascii="Calibri" w:hAnsi="Calibri" w:eastAsia="" w:cs="" w:asciiTheme="minorHAnsi" w:cstheme="majorBidi" w:eastAsiaTheme="majorEastAsia" w:hAnsiTheme="minorHAns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6a1314"/>
    <w:pPr>
      <w:spacing w:lineRule="auto" w:line="259" w:before="160" w:after="160"/>
      <w:jc w:val="center"/>
    </w:pPr>
    <w:rPr>
      <w:rFonts w:ascii="Calibri" w:hAnsi="Calibri" w:eastAsia="Calibri" w:cs="" w:asciiTheme="minorHAnsi" w:cstheme="minorBidi" w:eastAsiaTheme="minorHAnsi" w:hAnsiTheme="minorHAns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6a1314"/>
    <w:pPr>
      <w:spacing w:lineRule="auto" w:line="259" w:before="0" w:after="160"/>
      <w:ind w:left="720" w:hanging="0"/>
      <w:contextualSpacing/>
    </w:pPr>
    <w:rPr>
      <w:rFonts w:ascii="Calibri" w:hAnsi="Calibri" w:eastAsia="Calibri" w:cs="" w:asciiTheme="minorHAnsi" w:cstheme="minorBidi" w:eastAsiaTheme="minorHAnsi" w:hAnsiTheme="minorHAnsi"/>
      <w:kern w:val="2"/>
      <w:sz w:val="22"/>
      <w:szCs w:val="22"/>
      <w:lang w:eastAsia="en-US"/>
      <w14:ligatures w14:val="standardContextual"/>
    </w:rPr>
  </w:style>
  <w:style w:type="paragraph" w:styleId="IntenseQuote">
    <w:name w:val="Intense Quote"/>
    <w:basedOn w:val="Normal"/>
    <w:next w:val="Normal"/>
    <w:link w:val="IntenseQuoteChar"/>
    <w:uiPriority w:val="30"/>
    <w:qFormat/>
    <w:rsid w:val="006a1314"/>
    <w:pPr>
      <w:pBdr>
        <w:top w:val="single" w:sz="4" w:space="10" w:color="2F5496"/>
        <w:bottom w:val="single" w:sz="4" w:space="10" w:color="2F5496"/>
      </w:pBdr>
      <w:spacing w:lineRule="auto" w:line="259" w:before="360" w:after="360"/>
      <w:ind w:left="864" w:right="864" w:hanging="0"/>
      <w:jc w:val="center"/>
    </w:pPr>
    <w:rPr>
      <w:rFonts w:ascii="Calibri" w:hAnsi="Calibri" w:eastAsia="Calibri" w:cs="" w:asciiTheme="minorHAnsi" w:cstheme="minorBidi" w:eastAsiaTheme="minorHAnsi" w:hAnsiTheme="minorHAnsi"/>
      <w:i/>
      <w:iCs/>
      <w:color w:val="2F5496" w:themeColor="accent1" w:themeShade="bf"/>
      <w:kern w:val="2"/>
      <w:sz w:val="22"/>
      <w:szCs w:val="22"/>
      <w:lang w:eastAsia="en-US"/>
      <w14:ligatures w14:val="standardContextual"/>
    </w:rPr>
  </w:style>
  <w:style w:type="paragraph" w:styleId="NoSpacing">
    <w:name w:val="No Spacing"/>
    <w:uiPriority w:val="1"/>
    <w:qFormat/>
    <w:rsid w:val="006a1314"/>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4"/>
      <w:szCs w:val="22"/>
      <w:lang w:val="en-GB"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6a1314"/>
    <w:pPr>
      <w:tabs>
        <w:tab w:val="clear" w:pos="720"/>
        <w:tab w:val="center" w:pos="4513" w:leader="none"/>
        <w:tab w:val="right" w:pos="9026" w:leader="none"/>
      </w:tabs>
    </w:pPr>
    <w:rPr>
      <w:rFonts w:ascii="Calibri" w:hAnsi="Calibri" w:eastAsia="Calibri" w:cs="" w:asciiTheme="minorHAnsi" w:cstheme="minorBidi" w:eastAsiaTheme="minorHAnsi" w:hAnsiTheme="minorHAnsi"/>
      <w:kern w:val="2"/>
      <w:sz w:val="22"/>
      <w:szCs w:val="22"/>
      <w:lang w:eastAsia="en-US"/>
      <w14:ligatures w14:val="standardContextual"/>
    </w:rPr>
  </w:style>
  <w:style w:type="paragraph" w:styleId="Footer">
    <w:name w:val="Footer"/>
    <w:basedOn w:val="Normal"/>
    <w:link w:val="FooterChar"/>
    <w:uiPriority w:val="99"/>
    <w:unhideWhenUsed/>
    <w:rsid w:val="006a1314"/>
    <w:pPr>
      <w:tabs>
        <w:tab w:val="clear" w:pos="720"/>
        <w:tab w:val="center" w:pos="4513" w:leader="none"/>
        <w:tab w:val="right" w:pos="9026" w:leader="none"/>
      </w:tabs>
    </w:pPr>
    <w:rPr>
      <w:rFonts w:ascii="Calibri" w:hAnsi="Calibri" w:eastAsia="Calibri" w:cs="" w:asciiTheme="minorHAnsi" w:cstheme="minorBidi" w:eastAsiaTheme="minorHAnsi" w:hAnsiTheme="minorHAnsi"/>
      <w:kern w:val="2"/>
      <w:sz w:val="22"/>
      <w:szCs w:val="22"/>
      <w:lang w:eastAsia="en-US"/>
      <w14:ligatures w14:val="standardContextual"/>
    </w:rPr>
  </w:style>
  <w:style w:type="paragraph" w:styleId="NormalWeb">
    <w:name w:val="Normal (Web)"/>
    <w:basedOn w:val="Normal"/>
    <w:uiPriority w:val="99"/>
    <w:semiHidden/>
    <w:unhideWhenUsed/>
    <w:qFormat/>
    <w:rsid w:val="00c576bb"/>
    <w:pPr>
      <w:spacing w:lineRule="auto" w:line="259" w:before="0" w:after="160"/>
    </w:pPr>
    <w:rPr>
      <w:rFonts w:eastAsia="Calibri" w:eastAsiaTheme="minorHAnsi"/>
      <w:kern w:val="2"/>
      <w:lang w:eastAsia="en-US"/>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3c50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yperlink" Target="https://charltonmusgrovepc.org.uk/wp-content/uploads/2022/04/220316-CM-PC-Risk-Management.pdf" TargetMode="External"/><Relationship Id="rId8" Type="http://schemas.openxmlformats.org/officeDocument/2006/relationships/hyperlink" Target="https://charltonmusgrovepc.org.uk/play-area/" TargetMode="External"/><Relationship Id="rId9" Type="http://schemas.openxmlformats.org/officeDocument/2006/relationships/hyperlink" Target="https://charltonmusgrovepc.org.uk/cemetery/" TargetMode="External"/><Relationship Id="rId10" Type="http://schemas.openxmlformats.org/officeDocument/2006/relationships/hyperlink" Target="https://assets.publishing.service.gov.uk/media/5a7ef9cae5274a2e87db311f/Transparency_Code_for_Smaller_Authorities.pdf" TargetMode="External"/><Relationship Id="rId11" Type="http://schemas.openxmlformats.org/officeDocument/2006/relationships/hyperlink" Target="https://charltonmusgrovepc.org.uk/wp-content/uploads/2022/04/CM-PC-Public-Land-Building-Assets-1.pdf" TargetMode="External"/><Relationship Id="rId12" Type="http://schemas.openxmlformats.org/officeDocument/2006/relationships/hyperlink" Target="https://charltonmusgrovepc.org.uk/wp-content/uploads/2025/12/CMPC-IT-Policy-Oct-2025.pdf" TargetMode="External"/><Relationship Id="rId13" Type="http://schemas.openxmlformats.org/officeDocument/2006/relationships/hyperlink" Target="https://charltonmusgrovepc.org.uk/wp-content/uploads/2026/01/CMPC-Accessibility-Statement-Jan-2026.pdf" TargetMode="External"/><Relationship Id="rId14" Type="http://schemas.openxmlformats.org/officeDocument/2006/relationships/hyperlink" Target="https://compliascan.com/scan/6f8b7bc4-5659-485c-9478-9b884e172322"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LibreOffice/6.4.4.2$Windows_X86_64 LibreOffice_project/3d775be2011f3886db32dfd395a6a6d1ca2630ff</Application>
  <Pages>16</Pages>
  <Words>2968</Words>
  <Characters>15746</Characters>
  <CharactersWithSpaces>18547</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2026-05-16T11:14:00Z</dcterms:created>
  <dc:creator>Paul Russell</dc:creator>
  <dc:description/>
  <dc:language>en-GB</dc:language>
  <cp:lastModifiedBy>Paul Russell</cp:lastModifiedBy>
  <dcterms:modified xsi:type="dcterms:W3CDTF">2026-05-16T13:49:00Z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